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92B" w:rsidRDefault="00CF592B" w:rsidP="002316D5">
      <w:pPr>
        <w:spacing w:after="120"/>
        <w:ind w:right="1837"/>
        <w:rPr>
          <w:rStyle w:val="Fett"/>
          <w:sz w:val="28"/>
        </w:rPr>
      </w:pPr>
    </w:p>
    <w:p w:rsidR="00CF592B" w:rsidRPr="0019516B" w:rsidRDefault="0019516B" w:rsidP="00CF592B">
      <w:pPr>
        <w:pStyle w:val="Textkrper"/>
        <w:rPr>
          <w:rFonts w:ascii="Arial" w:hAnsi="Arial"/>
          <w:sz w:val="36"/>
          <w:szCs w:val="36"/>
          <w:lang w:val="en-GB"/>
        </w:rPr>
      </w:pPr>
      <w:r w:rsidRPr="0019516B">
        <w:rPr>
          <w:rFonts w:ascii="Arial" w:hAnsi="Arial"/>
          <w:sz w:val="36"/>
          <w:szCs w:val="36"/>
          <w:lang w:val="en-GB"/>
        </w:rPr>
        <w:t xml:space="preserve">PRESS </w:t>
      </w:r>
      <w:r w:rsidR="00C86A9B">
        <w:rPr>
          <w:rFonts w:ascii="Arial" w:hAnsi="Arial"/>
          <w:sz w:val="36"/>
          <w:szCs w:val="36"/>
          <w:lang w:val="en-GB"/>
        </w:rPr>
        <w:t>CONFERENCE</w:t>
      </w:r>
      <w:r w:rsidRPr="0019516B">
        <w:rPr>
          <w:rFonts w:ascii="Arial" w:hAnsi="Arial"/>
          <w:sz w:val="36"/>
          <w:szCs w:val="36"/>
          <w:lang w:val="en-GB"/>
        </w:rPr>
        <w:t xml:space="preserve"> </w:t>
      </w:r>
      <w:r w:rsidR="00CF592B" w:rsidRPr="0019516B">
        <w:rPr>
          <w:rFonts w:ascii="Arial" w:eastAsia="SimSun" w:hAnsi="Arial" w:cs="Arial"/>
          <w:sz w:val="36"/>
          <w:szCs w:val="36"/>
          <w:lang w:val="en-GB"/>
        </w:rPr>
        <w:t>2014/2015</w:t>
      </w:r>
    </w:p>
    <w:p w:rsidR="00CF592B" w:rsidRPr="0019516B" w:rsidRDefault="00CF592B" w:rsidP="00CF592B">
      <w:pPr>
        <w:ind w:right="-2"/>
        <w:rPr>
          <w:rFonts w:eastAsia="SimSun" w:cs="Arial"/>
          <w:szCs w:val="24"/>
          <w:lang w:val="en-GB" w:eastAsia="zh-CN"/>
        </w:rPr>
      </w:pPr>
    </w:p>
    <w:p w:rsidR="00CF592B" w:rsidRPr="0019516B" w:rsidRDefault="00CF592B" w:rsidP="00CF592B">
      <w:pPr>
        <w:autoSpaceDE w:val="0"/>
        <w:autoSpaceDN w:val="0"/>
        <w:adjustRightInd w:val="0"/>
        <w:rPr>
          <w:rFonts w:cs="Arial"/>
          <w:szCs w:val="24"/>
          <w:lang w:val="en-GB"/>
        </w:rPr>
      </w:pPr>
    </w:p>
    <w:p w:rsidR="00CF592B" w:rsidRPr="0019516B" w:rsidRDefault="00CF592B" w:rsidP="00CF592B">
      <w:pPr>
        <w:ind w:right="-2"/>
        <w:rPr>
          <w:rFonts w:cs="Arial"/>
          <w:szCs w:val="24"/>
          <w:lang w:val="en-GB"/>
        </w:rPr>
      </w:pPr>
    </w:p>
    <w:p w:rsidR="00CF592B" w:rsidRPr="0019516B" w:rsidRDefault="0019516B" w:rsidP="00CF592B">
      <w:pPr>
        <w:ind w:right="-2"/>
        <w:rPr>
          <w:rFonts w:eastAsia="SimSun" w:cs="Arial"/>
          <w:b/>
          <w:sz w:val="28"/>
          <w:szCs w:val="28"/>
          <w:lang w:val="en-GB" w:eastAsia="zh-CN"/>
        </w:rPr>
      </w:pPr>
      <w:r w:rsidRPr="0019516B">
        <w:rPr>
          <w:rFonts w:eastAsia="SimSun" w:cs="Arial"/>
          <w:b/>
          <w:sz w:val="28"/>
          <w:szCs w:val="28"/>
          <w:lang w:val="en-GB" w:eastAsia="zh-CN"/>
        </w:rPr>
        <w:t>Speaker</w:t>
      </w:r>
    </w:p>
    <w:p w:rsidR="00CF592B" w:rsidRPr="0019516B" w:rsidRDefault="00CF592B" w:rsidP="00CF592B">
      <w:pPr>
        <w:ind w:right="-2"/>
        <w:rPr>
          <w:rFonts w:eastAsia="SimSun" w:cs="Arial"/>
          <w:b/>
          <w:sz w:val="28"/>
          <w:szCs w:val="28"/>
          <w:lang w:val="en-GB" w:eastAsia="zh-CN"/>
        </w:rPr>
      </w:pPr>
    </w:p>
    <w:p w:rsidR="00CF592B" w:rsidRPr="0019516B" w:rsidRDefault="007A040F" w:rsidP="00CF592B">
      <w:pPr>
        <w:ind w:right="-2"/>
        <w:rPr>
          <w:rFonts w:cs="Arial"/>
          <w:sz w:val="24"/>
          <w:szCs w:val="24"/>
          <w:lang w:val="en-GB"/>
        </w:rPr>
      </w:pPr>
      <w:r w:rsidRPr="0019516B">
        <w:rPr>
          <w:rFonts w:eastAsia="SimSun" w:cs="Arial"/>
          <w:b/>
          <w:sz w:val="24"/>
          <w:szCs w:val="24"/>
          <w:lang w:val="en-GB" w:eastAsia="zh-CN"/>
        </w:rPr>
        <w:t>Georg Kirchmayr</w:t>
      </w:r>
      <w:r w:rsidR="00CF592B" w:rsidRPr="0019516B">
        <w:rPr>
          <w:rFonts w:eastAsia="SimSun" w:cs="Arial"/>
          <w:b/>
          <w:sz w:val="24"/>
          <w:szCs w:val="24"/>
          <w:lang w:val="en-GB" w:eastAsia="zh-CN"/>
        </w:rPr>
        <w:br/>
      </w:r>
      <w:r w:rsidR="0019516B" w:rsidRPr="0019516B">
        <w:rPr>
          <w:sz w:val="24"/>
          <w:szCs w:val="24"/>
          <w:lang w:val="en-GB"/>
        </w:rPr>
        <w:t>President of</w:t>
      </w:r>
      <w:r w:rsidRPr="0019516B">
        <w:rPr>
          <w:sz w:val="24"/>
          <w:szCs w:val="24"/>
          <w:lang w:val="en-GB"/>
        </w:rPr>
        <w:t xml:space="preserve"> TGW Logistics Group</w:t>
      </w:r>
    </w:p>
    <w:p w:rsidR="00CF592B" w:rsidRPr="0019516B" w:rsidRDefault="00CF592B" w:rsidP="00CF592B">
      <w:pPr>
        <w:autoSpaceDE w:val="0"/>
        <w:autoSpaceDN w:val="0"/>
        <w:adjustRightInd w:val="0"/>
        <w:ind w:right="-2"/>
        <w:rPr>
          <w:rFonts w:eastAsia="SimSun" w:cs="Arial"/>
          <w:sz w:val="24"/>
          <w:szCs w:val="24"/>
          <w:lang w:val="en-GB" w:eastAsia="zh-CN"/>
        </w:rPr>
      </w:pPr>
    </w:p>
    <w:p w:rsidR="00CF592B" w:rsidRPr="0019516B" w:rsidRDefault="00CF592B" w:rsidP="00CF592B">
      <w:pPr>
        <w:pStyle w:val="Fuzeile2"/>
        <w:pBdr>
          <w:top w:val="none" w:sz="0" w:space="0" w:color="auto"/>
        </w:pBdr>
        <w:ind w:right="-2"/>
        <w:rPr>
          <w:rFonts w:cs="Arial"/>
          <w:sz w:val="24"/>
          <w:szCs w:val="24"/>
        </w:rPr>
      </w:pPr>
    </w:p>
    <w:p w:rsidR="00CF592B" w:rsidRPr="0019516B" w:rsidRDefault="00CF592B" w:rsidP="00CF592B">
      <w:pPr>
        <w:pStyle w:val="Fuzeile2"/>
        <w:pBdr>
          <w:top w:val="none" w:sz="0" w:space="0" w:color="auto"/>
        </w:pBdr>
        <w:ind w:right="-2"/>
        <w:rPr>
          <w:rFonts w:cs="Arial"/>
          <w:sz w:val="24"/>
          <w:szCs w:val="24"/>
        </w:rPr>
      </w:pPr>
    </w:p>
    <w:p w:rsidR="00CF592B" w:rsidRDefault="0019516B" w:rsidP="007A040F">
      <w:pPr>
        <w:spacing w:line="276" w:lineRule="auto"/>
        <w:rPr>
          <w:rFonts w:cs="Arial"/>
          <w:b/>
          <w:sz w:val="24"/>
          <w:szCs w:val="24"/>
        </w:rPr>
      </w:pPr>
      <w:r>
        <w:rPr>
          <w:rFonts w:cs="Arial"/>
          <w:b/>
          <w:sz w:val="24"/>
          <w:szCs w:val="24"/>
        </w:rPr>
        <w:t>Outline:</w:t>
      </w:r>
    </w:p>
    <w:p w:rsidR="007A040F" w:rsidRPr="007A040F" w:rsidRDefault="007A040F" w:rsidP="007A040F">
      <w:pPr>
        <w:spacing w:line="276" w:lineRule="auto"/>
        <w:rPr>
          <w:rFonts w:cs="Arial"/>
          <w:b/>
          <w:sz w:val="24"/>
          <w:szCs w:val="24"/>
        </w:rPr>
      </w:pPr>
    </w:p>
    <w:p w:rsidR="0019516B" w:rsidRPr="0019516B" w:rsidRDefault="0019516B" w:rsidP="007A040F">
      <w:pPr>
        <w:numPr>
          <w:ilvl w:val="0"/>
          <w:numId w:val="7"/>
        </w:numPr>
        <w:ind w:left="567" w:hanging="567"/>
        <w:rPr>
          <w:rFonts w:eastAsia="SimSun" w:cs="Arial"/>
          <w:sz w:val="24"/>
          <w:szCs w:val="24"/>
          <w:lang w:val="en-GB" w:eastAsia="zh-CN"/>
        </w:rPr>
      </w:pPr>
      <w:r w:rsidRPr="0019516B">
        <w:rPr>
          <w:rFonts w:eastAsia="SimSun" w:cs="Arial"/>
          <w:sz w:val="24"/>
          <w:szCs w:val="24"/>
          <w:lang w:val="en-GB" w:eastAsia="zh-CN"/>
        </w:rPr>
        <w:t xml:space="preserve">Business results of the </w:t>
      </w:r>
      <w:r w:rsidR="007724FA">
        <w:rPr>
          <w:rFonts w:eastAsia="SimSun" w:cs="Arial"/>
          <w:sz w:val="24"/>
          <w:szCs w:val="24"/>
          <w:lang w:val="en-GB" w:eastAsia="zh-CN"/>
        </w:rPr>
        <w:t>fiscal</w:t>
      </w:r>
      <w:r w:rsidR="007724FA" w:rsidRPr="0019516B">
        <w:rPr>
          <w:rFonts w:eastAsia="SimSun" w:cs="Arial"/>
          <w:sz w:val="24"/>
          <w:szCs w:val="24"/>
          <w:lang w:val="en-GB" w:eastAsia="zh-CN"/>
        </w:rPr>
        <w:t xml:space="preserve"> </w:t>
      </w:r>
      <w:r w:rsidRPr="0019516B">
        <w:rPr>
          <w:rFonts w:eastAsia="SimSun" w:cs="Arial"/>
          <w:sz w:val="24"/>
          <w:szCs w:val="24"/>
          <w:lang w:val="en-GB" w:eastAsia="zh-CN"/>
        </w:rPr>
        <w:t>year 2014/2015</w:t>
      </w:r>
    </w:p>
    <w:p w:rsidR="0019516B" w:rsidRDefault="0019516B" w:rsidP="007A040F">
      <w:pPr>
        <w:numPr>
          <w:ilvl w:val="0"/>
          <w:numId w:val="7"/>
        </w:numPr>
        <w:ind w:left="567" w:hanging="567"/>
        <w:rPr>
          <w:rFonts w:eastAsia="SimSun" w:cs="Arial"/>
          <w:sz w:val="24"/>
          <w:szCs w:val="24"/>
          <w:lang w:val="en-GB" w:eastAsia="zh-CN"/>
        </w:rPr>
      </w:pPr>
      <w:r>
        <w:rPr>
          <w:rFonts w:eastAsia="SimSun" w:cs="Arial"/>
          <w:sz w:val="24"/>
          <w:szCs w:val="24"/>
          <w:lang w:val="en-GB" w:eastAsia="zh-CN"/>
        </w:rPr>
        <w:t>Successful strategy</w:t>
      </w:r>
    </w:p>
    <w:p w:rsidR="0019516B" w:rsidRDefault="0019516B" w:rsidP="007A040F">
      <w:pPr>
        <w:numPr>
          <w:ilvl w:val="0"/>
          <w:numId w:val="7"/>
        </w:numPr>
        <w:ind w:left="567" w:hanging="567"/>
        <w:rPr>
          <w:rFonts w:eastAsia="SimSun" w:cs="Arial"/>
          <w:sz w:val="24"/>
          <w:szCs w:val="24"/>
          <w:lang w:val="en-GB" w:eastAsia="zh-CN"/>
        </w:rPr>
      </w:pPr>
      <w:r>
        <w:rPr>
          <w:rFonts w:eastAsia="SimSun" w:cs="Arial"/>
          <w:sz w:val="24"/>
          <w:szCs w:val="24"/>
          <w:lang w:val="en-GB" w:eastAsia="zh-CN"/>
        </w:rPr>
        <w:t>Positive outlook on 2015/2016</w:t>
      </w:r>
    </w:p>
    <w:p w:rsidR="0019516B" w:rsidRDefault="0019516B" w:rsidP="007A040F">
      <w:pPr>
        <w:numPr>
          <w:ilvl w:val="0"/>
          <w:numId w:val="7"/>
        </w:numPr>
        <w:ind w:left="567" w:hanging="567"/>
        <w:rPr>
          <w:rFonts w:eastAsia="SimSun" w:cs="Arial"/>
          <w:sz w:val="24"/>
          <w:szCs w:val="24"/>
          <w:lang w:val="en-GB" w:eastAsia="zh-CN"/>
        </w:rPr>
      </w:pPr>
      <w:r>
        <w:rPr>
          <w:rFonts w:eastAsia="SimSun" w:cs="Arial"/>
          <w:sz w:val="24"/>
          <w:szCs w:val="24"/>
          <w:lang w:val="en-GB" w:eastAsia="zh-CN"/>
        </w:rPr>
        <w:t>Market trends in the industry</w:t>
      </w:r>
    </w:p>
    <w:p w:rsidR="0019516B" w:rsidRDefault="0019516B" w:rsidP="007A040F">
      <w:pPr>
        <w:numPr>
          <w:ilvl w:val="0"/>
          <w:numId w:val="7"/>
        </w:numPr>
        <w:ind w:left="567" w:hanging="567"/>
        <w:rPr>
          <w:rFonts w:eastAsia="SimSun" w:cs="Arial"/>
          <w:sz w:val="24"/>
          <w:szCs w:val="24"/>
          <w:lang w:val="en-GB" w:eastAsia="zh-CN"/>
        </w:rPr>
      </w:pPr>
      <w:r>
        <w:rPr>
          <w:rFonts w:eastAsia="SimSun" w:cs="Arial"/>
          <w:sz w:val="24"/>
          <w:szCs w:val="24"/>
          <w:lang w:val="en-GB" w:eastAsia="zh-CN"/>
        </w:rPr>
        <w:t>Excellent projects</w:t>
      </w:r>
    </w:p>
    <w:p w:rsidR="0019516B" w:rsidRDefault="0019516B" w:rsidP="007A040F">
      <w:pPr>
        <w:numPr>
          <w:ilvl w:val="0"/>
          <w:numId w:val="7"/>
        </w:numPr>
        <w:ind w:left="567" w:hanging="567"/>
        <w:rPr>
          <w:rFonts w:eastAsia="SimSun" w:cs="Arial"/>
          <w:sz w:val="24"/>
          <w:szCs w:val="24"/>
          <w:lang w:val="en-GB" w:eastAsia="zh-CN"/>
        </w:rPr>
      </w:pPr>
      <w:r>
        <w:rPr>
          <w:rFonts w:eastAsia="SimSun" w:cs="Arial"/>
          <w:sz w:val="24"/>
          <w:szCs w:val="24"/>
          <w:lang w:val="en-GB" w:eastAsia="zh-CN"/>
        </w:rPr>
        <w:t>International focus – Growing company</w:t>
      </w:r>
    </w:p>
    <w:p w:rsidR="0019516B" w:rsidRPr="0019516B" w:rsidRDefault="00C86A9B" w:rsidP="007A040F">
      <w:pPr>
        <w:numPr>
          <w:ilvl w:val="0"/>
          <w:numId w:val="7"/>
        </w:numPr>
        <w:ind w:left="567" w:hanging="567"/>
        <w:rPr>
          <w:rFonts w:eastAsia="SimSun" w:cs="Arial"/>
          <w:sz w:val="24"/>
          <w:szCs w:val="24"/>
          <w:lang w:val="en-GB" w:eastAsia="zh-CN"/>
        </w:rPr>
      </w:pPr>
      <w:r>
        <w:rPr>
          <w:rFonts w:eastAsia="SimSun" w:cs="Arial"/>
          <w:sz w:val="24"/>
          <w:szCs w:val="24"/>
          <w:lang w:val="en-GB" w:eastAsia="zh-CN"/>
        </w:rPr>
        <w:t>Employees wanted</w:t>
      </w:r>
    </w:p>
    <w:p w:rsidR="00CF592B" w:rsidRPr="007A040F" w:rsidRDefault="00CF592B" w:rsidP="00CF592B">
      <w:pPr>
        <w:pStyle w:val="Fuzeile2"/>
        <w:pBdr>
          <w:top w:val="none" w:sz="0" w:space="0" w:color="auto"/>
        </w:pBdr>
        <w:ind w:right="-2"/>
        <w:rPr>
          <w:rFonts w:cs="Arial"/>
          <w:sz w:val="24"/>
          <w:szCs w:val="24"/>
          <w:lang w:val="de-AT"/>
        </w:rPr>
      </w:pPr>
    </w:p>
    <w:p w:rsidR="00CF592B" w:rsidRDefault="00CF592B" w:rsidP="00CF592B">
      <w:pPr>
        <w:pStyle w:val="Fuzeile2"/>
        <w:pBdr>
          <w:top w:val="none" w:sz="0" w:space="0" w:color="auto"/>
        </w:pBdr>
        <w:ind w:right="-2"/>
        <w:rPr>
          <w:rFonts w:cs="Arial"/>
          <w:sz w:val="24"/>
          <w:szCs w:val="24"/>
          <w:lang w:val="de-AT"/>
        </w:rPr>
      </w:pPr>
    </w:p>
    <w:p w:rsidR="00CF592B" w:rsidRDefault="00CF592B" w:rsidP="00CF592B">
      <w:pPr>
        <w:pStyle w:val="Fuzeile2"/>
        <w:pBdr>
          <w:top w:val="none" w:sz="0" w:space="0" w:color="auto"/>
        </w:pBdr>
        <w:ind w:right="-2"/>
        <w:rPr>
          <w:rFonts w:cs="Arial"/>
          <w:sz w:val="24"/>
          <w:szCs w:val="24"/>
          <w:lang w:val="de-AT"/>
        </w:rPr>
      </w:pPr>
    </w:p>
    <w:p w:rsidR="00CF592B" w:rsidRPr="007B0855" w:rsidRDefault="00CF592B" w:rsidP="00CF592B">
      <w:pPr>
        <w:pStyle w:val="Fuzeile2"/>
        <w:pBdr>
          <w:top w:val="none" w:sz="0" w:space="0" w:color="auto"/>
        </w:pBdr>
        <w:ind w:right="-2"/>
        <w:rPr>
          <w:rFonts w:cs="Arial"/>
          <w:sz w:val="24"/>
          <w:szCs w:val="24"/>
          <w:lang w:val="de-AT"/>
        </w:rPr>
      </w:pPr>
    </w:p>
    <w:p w:rsidR="00CF592B" w:rsidRPr="007B0855" w:rsidRDefault="00CF592B" w:rsidP="00CF592B">
      <w:pPr>
        <w:ind w:right="-2"/>
        <w:rPr>
          <w:rFonts w:cs="Arial"/>
          <w:szCs w:val="24"/>
        </w:rPr>
      </w:pPr>
    </w:p>
    <w:p w:rsidR="0019516B" w:rsidRPr="0019516B" w:rsidRDefault="0019516B" w:rsidP="00CF592B">
      <w:pPr>
        <w:autoSpaceDE w:val="0"/>
        <w:autoSpaceDN w:val="0"/>
        <w:adjustRightInd w:val="0"/>
        <w:spacing w:line="360" w:lineRule="exact"/>
        <w:ind w:right="-2"/>
        <w:rPr>
          <w:rFonts w:cs="Arial"/>
          <w:bCs/>
          <w:sz w:val="24"/>
          <w:szCs w:val="24"/>
          <w:lang w:val="en-GB" w:eastAsia="de-AT"/>
        </w:rPr>
      </w:pPr>
      <w:r w:rsidRPr="0019516B">
        <w:rPr>
          <w:rFonts w:cs="Arial"/>
          <w:bCs/>
          <w:sz w:val="24"/>
          <w:szCs w:val="24"/>
          <w:lang w:val="en-GB" w:eastAsia="de-AT"/>
        </w:rPr>
        <w:t>Wednesday, 4th November 2015 in Linz</w:t>
      </w:r>
    </w:p>
    <w:p w:rsidR="007A040F" w:rsidRPr="0019516B" w:rsidRDefault="0019516B" w:rsidP="0019516B">
      <w:pPr>
        <w:autoSpaceDE w:val="0"/>
        <w:autoSpaceDN w:val="0"/>
        <w:adjustRightInd w:val="0"/>
        <w:spacing w:line="360" w:lineRule="exact"/>
        <w:ind w:right="-2"/>
        <w:rPr>
          <w:rFonts w:cs="Arial"/>
          <w:bCs/>
          <w:sz w:val="24"/>
          <w:szCs w:val="24"/>
          <w:lang w:val="en-GB" w:eastAsia="de-AT"/>
        </w:rPr>
      </w:pPr>
      <w:r w:rsidRPr="0019516B">
        <w:rPr>
          <w:rFonts w:cs="Arial"/>
          <w:bCs/>
          <w:sz w:val="24"/>
          <w:szCs w:val="24"/>
          <w:lang w:val="en-GB" w:eastAsia="de-AT"/>
        </w:rPr>
        <w:t xml:space="preserve">Thursday, 5th November 2015 in Vienna </w:t>
      </w:r>
    </w:p>
    <w:p w:rsidR="00CF592B" w:rsidRPr="0019516B" w:rsidRDefault="00CF592B" w:rsidP="00CF592B">
      <w:pPr>
        <w:pStyle w:val="Fuzeile2"/>
        <w:pBdr>
          <w:top w:val="none" w:sz="0" w:space="0" w:color="auto"/>
        </w:pBdr>
        <w:ind w:right="-2"/>
        <w:rPr>
          <w:rFonts w:cs="Arial"/>
          <w:sz w:val="24"/>
          <w:szCs w:val="24"/>
        </w:rPr>
      </w:pPr>
    </w:p>
    <w:p w:rsidR="005D1C5D" w:rsidRPr="0019516B" w:rsidRDefault="0019516B" w:rsidP="0019516B">
      <w:pPr>
        <w:spacing w:before="240" w:line="240" w:lineRule="auto"/>
        <w:ind w:right="1837"/>
        <w:rPr>
          <w:sz w:val="22"/>
          <w:lang w:val="en-GB"/>
        </w:rPr>
      </w:pPr>
      <w:r w:rsidRPr="0019516B">
        <w:rPr>
          <w:sz w:val="22"/>
          <w:lang w:val="en-GB"/>
        </w:rPr>
        <w:t>P</w:t>
      </w:r>
      <w:r>
        <w:rPr>
          <w:sz w:val="22"/>
          <w:lang w:val="en-GB"/>
        </w:rPr>
        <w:t xml:space="preserve">ictures of the press talk available </w:t>
      </w:r>
      <w:r w:rsidR="004D5156">
        <w:rPr>
          <w:sz w:val="22"/>
          <w:lang w:val="en-GB"/>
        </w:rPr>
        <w:t>on</w:t>
      </w:r>
    </w:p>
    <w:p w:rsidR="00434234" w:rsidRPr="006F7556" w:rsidRDefault="00C544B8" w:rsidP="00434234">
      <w:pPr>
        <w:spacing w:line="240" w:lineRule="auto"/>
        <w:ind w:right="1837"/>
        <w:rPr>
          <w:sz w:val="22"/>
          <w:lang w:val="en-US"/>
        </w:rPr>
      </w:pPr>
      <w:hyperlink r:id="rId8" w:history="1">
        <w:r w:rsidR="003642F9" w:rsidRPr="006F7556">
          <w:rPr>
            <w:rStyle w:val="Hyperlink"/>
            <w:sz w:val="22"/>
            <w:lang w:val="en-US"/>
          </w:rPr>
          <w:t>www.apa-fotoservice.at</w:t>
        </w:r>
      </w:hyperlink>
    </w:p>
    <w:p w:rsidR="003642F9" w:rsidRPr="006F7556" w:rsidRDefault="0019516B" w:rsidP="003642F9">
      <w:pPr>
        <w:spacing w:line="240" w:lineRule="auto"/>
        <w:ind w:right="1837"/>
        <w:rPr>
          <w:sz w:val="22"/>
          <w:lang w:val="en-US"/>
        </w:rPr>
      </w:pPr>
      <w:r w:rsidRPr="006F7556">
        <w:rPr>
          <w:sz w:val="22"/>
          <w:lang w:val="en-US"/>
        </w:rPr>
        <w:t xml:space="preserve">Press text (German) available </w:t>
      </w:r>
      <w:r w:rsidR="004D5156">
        <w:rPr>
          <w:sz w:val="22"/>
          <w:lang w:val="en-US"/>
        </w:rPr>
        <w:t>on</w:t>
      </w:r>
    </w:p>
    <w:p w:rsidR="003642F9" w:rsidRPr="006F7556" w:rsidRDefault="00C544B8" w:rsidP="003642F9">
      <w:pPr>
        <w:spacing w:line="240" w:lineRule="auto"/>
        <w:ind w:right="1837"/>
        <w:rPr>
          <w:sz w:val="22"/>
          <w:lang w:val="en-US"/>
        </w:rPr>
      </w:pPr>
      <w:hyperlink r:id="rId9" w:history="1">
        <w:r w:rsidR="003642F9" w:rsidRPr="006F7556">
          <w:rPr>
            <w:rStyle w:val="Hyperlink"/>
            <w:sz w:val="22"/>
            <w:lang w:val="en-US"/>
          </w:rPr>
          <w:t>http://pressecenter.reichlundpartner.com/News.aspx?menueid=5533</w:t>
        </w:r>
      </w:hyperlink>
    </w:p>
    <w:p w:rsidR="003642F9" w:rsidRPr="006F7556" w:rsidRDefault="003642F9" w:rsidP="003642F9">
      <w:pPr>
        <w:ind w:right="1837"/>
        <w:rPr>
          <w:b/>
          <w:sz w:val="22"/>
          <w:lang w:val="en-US"/>
        </w:rPr>
      </w:pPr>
    </w:p>
    <w:p w:rsidR="003642F9" w:rsidRPr="006F7556" w:rsidRDefault="003642F9" w:rsidP="00434234">
      <w:pPr>
        <w:spacing w:line="240" w:lineRule="auto"/>
        <w:ind w:right="1837"/>
        <w:rPr>
          <w:b/>
          <w:sz w:val="24"/>
          <w:szCs w:val="24"/>
          <w:lang w:val="en-US"/>
        </w:rPr>
      </w:pPr>
    </w:p>
    <w:p w:rsidR="0019516B" w:rsidRPr="006F7556" w:rsidRDefault="0019516B" w:rsidP="00434234">
      <w:pPr>
        <w:spacing w:line="240" w:lineRule="auto"/>
        <w:ind w:right="1837"/>
        <w:rPr>
          <w:b/>
          <w:sz w:val="24"/>
          <w:szCs w:val="24"/>
          <w:lang w:val="en-US"/>
        </w:rPr>
      </w:pPr>
    </w:p>
    <w:p w:rsidR="002316D5" w:rsidRPr="006F7556" w:rsidRDefault="00B121A2" w:rsidP="003C3575">
      <w:pPr>
        <w:spacing w:after="120"/>
        <w:ind w:right="1837"/>
        <w:rPr>
          <w:rStyle w:val="Fett"/>
          <w:sz w:val="28"/>
          <w:lang w:val="en-US"/>
        </w:rPr>
      </w:pPr>
      <w:r w:rsidRPr="006F7556">
        <w:rPr>
          <w:rStyle w:val="Fett"/>
          <w:sz w:val="28"/>
          <w:lang w:val="en-US"/>
        </w:rPr>
        <w:lastRenderedPageBreak/>
        <w:t>TGW Logistics Group</w:t>
      </w:r>
      <w:r w:rsidR="003045D6" w:rsidRPr="006F7556">
        <w:rPr>
          <w:rStyle w:val="Fett"/>
          <w:sz w:val="28"/>
          <w:lang w:val="en-US"/>
        </w:rPr>
        <w:t>’s international growth plan</w:t>
      </w:r>
      <w:r w:rsidRPr="006F7556">
        <w:rPr>
          <w:rStyle w:val="Fett"/>
          <w:sz w:val="28"/>
          <w:lang w:val="en-US"/>
        </w:rPr>
        <w:t xml:space="preserve"> </w:t>
      </w:r>
    </w:p>
    <w:p w:rsidR="0075117B" w:rsidRDefault="003045D6" w:rsidP="003C3575">
      <w:pPr>
        <w:spacing w:after="120"/>
        <w:ind w:right="1837"/>
        <w:rPr>
          <w:rStyle w:val="Fett"/>
          <w:b w:val="0"/>
          <w:sz w:val="28"/>
          <w:lang w:val="en-GB"/>
        </w:rPr>
      </w:pPr>
      <w:r w:rsidRPr="003045D6">
        <w:rPr>
          <w:rStyle w:val="Fett"/>
          <w:b w:val="0"/>
          <w:sz w:val="28"/>
          <w:lang w:val="en-GB"/>
        </w:rPr>
        <w:t>Double-digit growth and 330 new employees wanted</w:t>
      </w:r>
    </w:p>
    <w:p w:rsidR="003045D6" w:rsidRPr="003045D6" w:rsidRDefault="003045D6" w:rsidP="003C3575">
      <w:pPr>
        <w:spacing w:after="120"/>
        <w:ind w:right="1837"/>
        <w:rPr>
          <w:sz w:val="28"/>
          <w:lang w:val="en-GB"/>
        </w:rPr>
      </w:pPr>
    </w:p>
    <w:p w:rsidR="00EF1C7B" w:rsidRDefault="002316D5" w:rsidP="003C3575">
      <w:pPr>
        <w:spacing w:before="240" w:after="120"/>
        <w:ind w:right="1837"/>
        <w:rPr>
          <w:lang w:val="en-GB"/>
        </w:rPr>
      </w:pPr>
      <w:r w:rsidRPr="003045D6">
        <w:rPr>
          <w:b/>
          <w:lang w:val="en-GB"/>
        </w:rPr>
        <w:t>Wels, 4</w:t>
      </w:r>
      <w:r w:rsidR="003045D6" w:rsidRPr="003045D6">
        <w:rPr>
          <w:b/>
          <w:lang w:val="en-GB"/>
        </w:rPr>
        <w:t>th</w:t>
      </w:r>
      <w:r w:rsidRPr="003045D6">
        <w:rPr>
          <w:b/>
          <w:lang w:val="en-GB"/>
        </w:rPr>
        <w:t xml:space="preserve"> November 2015 – </w:t>
      </w:r>
      <w:r w:rsidR="003045D6" w:rsidRPr="003045D6">
        <w:rPr>
          <w:lang w:val="en-GB"/>
        </w:rPr>
        <w:t xml:space="preserve">The TGW Logistics Group headquartered in Wels, Upper Austria, is a worldwide leading provider of highly dynamic, automated and turnkey logistics solutions. </w:t>
      </w:r>
      <w:r w:rsidR="003045D6">
        <w:rPr>
          <w:lang w:val="en-GB"/>
        </w:rPr>
        <w:t xml:space="preserve">Since 1969 the international company group has </w:t>
      </w:r>
      <w:r w:rsidR="007724FA">
        <w:rPr>
          <w:lang w:val="en-GB"/>
        </w:rPr>
        <w:t xml:space="preserve">implemented material handling </w:t>
      </w:r>
      <w:r w:rsidR="003045D6">
        <w:rPr>
          <w:lang w:val="en-GB"/>
        </w:rPr>
        <w:t xml:space="preserve">solutions for leading companies in </w:t>
      </w:r>
      <w:r w:rsidR="007724FA">
        <w:rPr>
          <w:lang w:val="en-GB"/>
        </w:rPr>
        <w:t>many</w:t>
      </w:r>
      <w:r w:rsidR="003045D6">
        <w:rPr>
          <w:lang w:val="en-GB"/>
        </w:rPr>
        <w:t xml:space="preserve"> industries such as </w:t>
      </w:r>
      <w:r w:rsidR="008116A0" w:rsidRPr="00EF1C7B">
        <w:rPr>
          <w:lang w:val="en-GB"/>
        </w:rPr>
        <w:t xml:space="preserve">H&amp;M, Esprit, Jack </w:t>
      </w:r>
      <w:proofErr w:type="spellStart"/>
      <w:r w:rsidR="008116A0" w:rsidRPr="00EF1C7B">
        <w:rPr>
          <w:lang w:val="en-GB"/>
        </w:rPr>
        <w:t>Wolfskin</w:t>
      </w:r>
      <w:proofErr w:type="spellEnd"/>
      <w:r w:rsidR="008116A0" w:rsidRPr="00EF1C7B">
        <w:rPr>
          <w:lang w:val="en-GB"/>
        </w:rPr>
        <w:t xml:space="preserve">, Mango, Coop, </w:t>
      </w:r>
      <w:proofErr w:type="spellStart"/>
      <w:r w:rsidR="008116A0" w:rsidRPr="00EF1C7B">
        <w:rPr>
          <w:lang w:val="en-GB"/>
        </w:rPr>
        <w:t>Kaufland</w:t>
      </w:r>
      <w:proofErr w:type="spellEnd"/>
      <w:r w:rsidR="008116A0" w:rsidRPr="00EF1C7B">
        <w:rPr>
          <w:lang w:val="en-GB"/>
        </w:rPr>
        <w:t xml:space="preserve">, Banner </w:t>
      </w:r>
      <w:proofErr w:type="spellStart"/>
      <w:r w:rsidR="008116A0" w:rsidRPr="00EF1C7B">
        <w:rPr>
          <w:lang w:val="en-GB"/>
        </w:rPr>
        <w:t>Batterien</w:t>
      </w:r>
      <w:proofErr w:type="spellEnd"/>
      <w:r w:rsidR="008116A0" w:rsidRPr="00EF1C7B">
        <w:rPr>
          <w:lang w:val="en-GB"/>
        </w:rPr>
        <w:t xml:space="preserve">, Conrad, </w:t>
      </w:r>
      <w:proofErr w:type="spellStart"/>
      <w:r w:rsidR="008116A0" w:rsidRPr="00EF1C7B">
        <w:rPr>
          <w:lang w:val="en-GB"/>
        </w:rPr>
        <w:t>Thomann</w:t>
      </w:r>
      <w:proofErr w:type="spellEnd"/>
      <w:r w:rsidR="008116A0" w:rsidRPr="00EF1C7B">
        <w:rPr>
          <w:lang w:val="en-GB"/>
        </w:rPr>
        <w:t xml:space="preserve">, </w:t>
      </w:r>
      <w:r w:rsidR="00593028" w:rsidRPr="00EF1C7B">
        <w:rPr>
          <w:lang w:val="en-GB"/>
        </w:rPr>
        <w:t xml:space="preserve">Amazon </w:t>
      </w:r>
      <w:r w:rsidR="00EF1C7B">
        <w:rPr>
          <w:lang w:val="en-GB"/>
        </w:rPr>
        <w:t>or</w:t>
      </w:r>
      <w:r w:rsidR="008116A0" w:rsidRPr="00EF1C7B">
        <w:rPr>
          <w:lang w:val="en-GB"/>
        </w:rPr>
        <w:t xml:space="preserve"> </w:t>
      </w:r>
      <w:proofErr w:type="spellStart"/>
      <w:r w:rsidR="008116A0" w:rsidRPr="00EF1C7B">
        <w:rPr>
          <w:lang w:val="en-GB"/>
        </w:rPr>
        <w:t>Kärcher</w:t>
      </w:r>
      <w:proofErr w:type="spellEnd"/>
      <w:r w:rsidR="008116A0" w:rsidRPr="00EF1C7B">
        <w:rPr>
          <w:lang w:val="en-GB"/>
        </w:rPr>
        <w:t xml:space="preserve">. </w:t>
      </w:r>
      <w:r w:rsidR="00EF1C7B">
        <w:rPr>
          <w:lang w:val="en-GB"/>
        </w:rPr>
        <w:t xml:space="preserve">About 2,500 employees are working daily on the technologies for high-tech e-commerce solutions and support TGW customers in their success. </w:t>
      </w:r>
    </w:p>
    <w:p w:rsidR="00716360" w:rsidRPr="006F7556" w:rsidRDefault="00716360" w:rsidP="003C3575">
      <w:pPr>
        <w:ind w:right="1837"/>
        <w:rPr>
          <w:b/>
          <w:lang w:val="en-US"/>
        </w:rPr>
      </w:pPr>
    </w:p>
    <w:p w:rsidR="004E6AFB" w:rsidRPr="0045668E" w:rsidRDefault="00EF1C7B" w:rsidP="003C3575">
      <w:pPr>
        <w:ind w:right="1837"/>
        <w:rPr>
          <w:b/>
          <w:lang w:val="en-GB"/>
        </w:rPr>
      </w:pPr>
      <w:r w:rsidRPr="0045668E">
        <w:rPr>
          <w:b/>
          <w:lang w:val="en-GB"/>
        </w:rPr>
        <w:t>Successful strategy</w:t>
      </w:r>
    </w:p>
    <w:p w:rsidR="00EF1C7B" w:rsidRDefault="0045668E" w:rsidP="003C3575">
      <w:pPr>
        <w:pStyle w:val="Kommentartext"/>
        <w:spacing w:line="360" w:lineRule="auto"/>
        <w:ind w:right="1837"/>
        <w:rPr>
          <w:szCs w:val="22"/>
          <w:lang w:val="en-GB"/>
        </w:rPr>
      </w:pPr>
      <w:r w:rsidRPr="0045668E">
        <w:rPr>
          <w:szCs w:val="22"/>
          <w:lang w:val="en-GB"/>
        </w:rPr>
        <w:t>In the business year 2014/2015</w:t>
      </w:r>
      <w:r w:rsidR="007724FA">
        <w:rPr>
          <w:szCs w:val="22"/>
          <w:lang w:val="en-GB"/>
        </w:rPr>
        <w:t>,</w:t>
      </w:r>
      <w:r w:rsidRPr="0045668E">
        <w:rPr>
          <w:szCs w:val="22"/>
          <w:lang w:val="en-GB"/>
        </w:rPr>
        <w:t xml:space="preserve"> the TGW Logistics Group generated a revenue of 475 million Euros</w:t>
      </w:r>
      <w:r w:rsidR="007724FA">
        <w:rPr>
          <w:szCs w:val="22"/>
          <w:lang w:val="en-GB"/>
        </w:rPr>
        <w:t>, which</w:t>
      </w:r>
      <w:r>
        <w:rPr>
          <w:szCs w:val="22"/>
          <w:lang w:val="en-GB"/>
        </w:rPr>
        <w:t xml:space="preserve"> means a growth of 28.17 per cent within one year. “The year 2014/2015 was very successful for our company,” explains Georg Kirchmayr, President of TGW Logistics Group. “We have pursued a clear goal during the past years and we achieved it. We developed from a supplier of mechanical </w:t>
      </w:r>
      <w:r w:rsidR="007724FA">
        <w:rPr>
          <w:szCs w:val="22"/>
          <w:lang w:val="en-GB"/>
        </w:rPr>
        <w:t xml:space="preserve">equipment </w:t>
      </w:r>
      <w:r>
        <w:rPr>
          <w:szCs w:val="22"/>
          <w:lang w:val="en-GB"/>
        </w:rPr>
        <w:t xml:space="preserve">and installations to a systems integrator and are successful with our portfolio all over the world.” The numbers </w:t>
      </w:r>
      <w:r w:rsidR="007724FA">
        <w:rPr>
          <w:szCs w:val="22"/>
          <w:lang w:val="en-GB"/>
        </w:rPr>
        <w:t>proves</w:t>
      </w:r>
      <w:r>
        <w:rPr>
          <w:szCs w:val="22"/>
          <w:lang w:val="en-GB"/>
        </w:rPr>
        <w:t xml:space="preserve"> </w:t>
      </w:r>
      <w:proofErr w:type="spellStart"/>
      <w:r>
        <w:rPr>
          <w:szCs w:val="22"/>
          <w:lang w:val="en-GB"/>
        </w:rPr>
        <w:t>Kirchmayr’s</w:t>
      </w:r>
      <w:proofErr w:type="spellEnd"/>
      <w:r>
        <w:rPr>
          <w:szCs w:val="22"/>
          <w:lang w:val="en-GB"/>
        </w:rPr>
        <w:t xml:space="preserve"> statement</w:t>
      </w:r>
      <w:r w:rsidR="007724FA">
        <w:rPr>
          <w:szCs w:val="22"/>
          <w:lang w:val="en-GB"/>
        </w:rPr>
        <w:t xml:space="preserve"> right</w:t>
      </w:r>
      <w:r>
        <w:rPr>
          <w:szCs w:val="22"/>
          <w:lang w:val="en-GB"/>
        </w:rPr>
        <w:t xml:space="preserve">: Beside the pleasant growth in revenues, also the number of employees has risen to about 2,500. </w:t>
      </w:r>
    </w:p>
    <w:p w:rsidR="0045668E" w:rsidRPr="0045668E" w:rsidRDefault="0045668E" w:rsidP="003C3575">
      <w:pPr>
        <w:pStyle w:val="Kommentartext"/>
        <w:spacing w:line="360" w:lineRule="auto"/>
        <w:ind w:right="1837"/>
        <w:rPr>
          <w:szCs w:val="22"/>
          <w:lang w:val="en-GB"/>
        </w:rPr>
      </w:pPr>
    </w:p>
    <w:p w:rsidR="00EF1C7B" w:rsidRPr="0045668E" w:rsidRDefault="00832A89" w:rsidP="003C3575">
      <w:pPr>
        <w:pStyle w:val="Kommentartext"/>
        <w:spacing w:line="360" w:lineRule="auto"/>
        <w:ind w:right="1837"/>
        <w:rPr>
          <w:szCs w:val="22"/>
          <w:lang w:val="en-GB"/>
        </w:rPr>
      </w:pPr>
      <w:r>
        <w:rPr>
          <w:szCs w:val="22"/>
          <w:lang w:val="en-GB"/>
        </w:rPr>
        <w:t>Furthermore, the Group is happy to have left marks on various markets. “In the year 2000, the company was exclusively active in Germany and Austria, today TGW fulfils worldwide orders with entities in 15 countries and production facilities on three continents. In 2015, we were able to open our own production facility in China,” Kirchmayr say</w:t>
      </w:r>
      <w:r w:rsidR="007B400C">
        <w:rPr>
          <w:szCs w:val="22"/>
          <w:lang w:val="en-GB"/>
        </w:rPr>
        <w:t>s</w:t>
      </w:r>
      <w:r>
        <w:rPr>
          <w:szCs w:val="22"/>
          <w:lang w:val="en-GB"/>
        </w:rPr>
        <w:t xml:space="preserve">. “The entire expansion was </w:t>
      </w:r>
      <w:r w:rsidR="00EB7250">
        <w:rPr>
          <w:szCs w:val="22"/>
          <w:lang w:val="en-GB"/>
        </w:rPr>
        <w:t>financed from our cash flow.”</w:t>
      </w:r>
    </w:p>
    <w:p w:rsidR="008116A0" w:rsidRPr="006F7556" w:rsidRDefault="008116A0" w:rsidP="00E437CD">
      <w:pPr>
        <w:ind w:right="1837"/>
        <w:rPr>
          <w:lang w:val="en-US"/>
        </w:rPr>
      </w:pPr>
    </w:p>
    <w:p w:rsidR="00BC5D88" w:rsidRPr="006F7556" w:rsidRDefault="00EB7250" w:rsidP="00AF7D9E">
      <w:pPr>
        <w:ind w:right="1837"/>
        <w:rPr>
          <w:b/>
          <w:lang w:val="en-US"/>
        </w:rPr>
      </w:pPr>
      <w:r w:rsidRPr="006F7556">
        <w:rPr>
          <w:b/>
          <w:lang w:val="en-US"/>
        </w:rPr>
        <w:t>Key figures</w:t>
      </w:r>
    </w:p>
    <w:tbl>
      <w:tblPr>
        <w:tblW w:w="8991" w:type="dxa"/>
        <w:tblInd w:w="55" w:type="dxa"/>
        <w:tblCellMar>
          <w:left w:w="0" w:type="dxa"/>
          <w:right w:w="0" w:type="dxa"/>
        </w:tblCellMar>
        <w:tblLook w:val="04A0" w:firstRow="1" w:lastRow="0" w:firstColumn="1" w:lastColumn="0" w:noHBand="0" w:noVBand="1"/>
      </w:tblPr>
      <w:tblGrid>
        <w:gridCol w:w="2283"/>
        <w:gridCol w:w="1118"/>
        <w:gridCol w:w="1118"/>
        <w:gridCol w:w="1118"/>
        <w:gridCol w:w="1118"/>
        <w:gridCol w:w="1118"/>
        <w:gridCol w:w="1118"/>
      </w:tblGrid>
      <w:tr w:rsidR="00B15708" w:rsidRPr="00A61A98" w:rsidTr="005609F6">
        <w:trPr>
          <w:trHeight w:val="300"/>
        </w:trPr>
        <w:tc>
          <w:tcPr>
            <w:tcW w:w="2283" w:type="dxa"/>
            <w:tcBorders>
              <w:top w:val="single" w:sz="8"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rsidR="00B15708" w:rsidRPr="00A61A98" w:rsidRDefault="00EB7250">
            <w:pPr>
              <w:rPr>
                <w:rFonts w:cs="Arial"/>
                <w:sz w:val="22"/>
                <w:lang w:eastAsia="de-AT"/>
              </w:rPr>
            </w:pPr>
            <w:r>
              <w:rPr>
                <w:lang w:eastAsia="de-AT"/>
              </w:rPr>
              <w:t xml:space="preserve">Business </w:t>
            </w:r>
            <w:proofErr w:type="spellStart"/>
            <w:r>
              <w:rPr>
                <w:lang w:eastAsia="de-AT"/>
              </w:rPr>
              <w:t>year</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5708" w:rsidRDefault="00B15708">
            <w:pPr>
              <w:jc w:val="center"/>
              <w:rPr>
                <w:lang w:eastAsia="de-AT"/>
              </w:rPr>
            </w:pPr>
            <w:r>
              <w:rPr>
                <w:lang w:eastAsia="de-AT"/>
              </w:rPr>
              <w:t>2015/2016</w:t>
            </w:r>
          </w:p>
          <w:p w:rsidR="00B15708" w:rsidRPr="00A61A98" w:rsidRDefault="00B15708" w:rsidP="00B15708">
            <w:pPr>
              <w:jc w:val="center"/>
              <w:rPr>
                <w:lang w:eastAsia="de-AT"/>
              </w:rPr>
            </w:pPr>
            <w:r>
              <w:rPr>
                <w:lang w:eastAsia="de-AT"/>
              </w:rPr>
              <w:t>Plan</w:t>
            </w:r>
          </w:p>
        </w:tc>
        <w:tc>
          <w:tcPr>
            <w:tcW w:w="1118" w:type="dxa"/>
            <w:tcBorders>
              <w:top w:val="single" w:sz="8" w:space="0" w:color="auto"/>
              <w:left w:val="single" w:sz="4" w:space="0" w:color="auto"/>
              <w:bottom w:val="single" w:sz="8" w:space="0" w:color="auto"/>
              <w:right w:val="single" w:sz="4" w:space="0" w:color="auto"/>
            </w:tcBorders>
            <w:shd w:val="clear" w:color="auto" w:fill="D9D9D9" w:themeFill="background1" w:themeFillShade="D9"/>
            <w:noWrap/>
            <w:tcMar>
              <w:top w:w="0" w:type="dxa"/>
              <w:left w:w="70" w:type="dxa"/>
              <w:bottom w:w="0" w:type="dxa"/>
              <w:right w:w="70" w:type="dxa"/>
            </w:tcMar>
            <w:vAlign w:val="bottom"/>
            <w:hideMark/>
          </w:tcPr>
          <w:p w:rsidR="00B15708" w:rsidRPr="00B15708" w:rsidRDefault="00B15708">
            <w:pPr>
              <w:jc w:val="center"/>
              <w:rPr>
                <w:rFonts w:cs="Arial"/>
                <w:b/>
                <w:sz w:val="22"/>
                <w:lang w:eastAsia="de-AT"/>
              </w:rPr>
            </w:pPr>
            <w:r w:rsidRPr="00B15708">
              <w:rPr>
                <w:b/>
                <w:lang w:eastAsia="de-AT"/>
              </w:rPr>
              <w:t>2014/2015</w:t>
            </w:r>
          </w:p>
        </w:tc>
        <w:tc>
          <w:tcPr>
            <w:tcW w:w="1118"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bottom"/>
            <w:hideMark/>
          </w:tcPr>
          <w:p w:rsidR="00B15708" w:rsidRPr="00A61A98" w:rsidRDefault="00B15708">
            <w:pPr>
              <w:jc w:val="center"/>
              <w:rPr>
                <w:rFonts w:cs="Arial"/>
                <w:sz w:val="22"/>
                <w:lang w:eastAsia="de-AT"/>
              </w:rPr>
            </w:pPr>
            <w:r w:rsidRPr="00A61A98">
              <w:rPr>
                <w:lang w:eastAsia="de-AT"/>
              </w:rPr>
              <w:t>2013/2014</w:t>
            </w:r>
          </w:p>
        </w:tc>
        <w:tc>
          <w:tcPr>
            <w:tcW w:w="11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15708" w:rsidRPr="00A61A98" w:rsidRDefault="00B15708">
            <w:pPr>
              <w:jc w:val="center"/>
              <w:rPr>
                <w:rFonts w:cs="Arial"/>
                <w:sz w:val="22"/>
                <w:lang w:eastAsia="de-AT"/>
              </w:rPr>
            </w:pPr>
            <w:r w:rsidRPr="00A61A98">
              <w:rPr>
                <w:lang w:eastAsia="de-AT"/>
              </w:rPr>
              <w:t>2012/2013</w:t>
            </w:r>
          </w:p>
        </w:tc>
        <w:tc>
          <w:tcPr>
            <w:tcW w:w="11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15708" w:rsidRPr="00A61A98" w:rsidRDefault="00B15708">
            <w:pPr>
              <w:jc w:val="center"/>
              <w:rPr>
                <w:rFonts w:cs="Arial"/>
                <w:sz w:val="22"/>
                <w:lang w:eastAsia="de-AT"/>
              </w:rPr>
            </w:pPr>
            <w:r w:rsidRPr="00A61A98">
              <w:rPr>
                <w:lang w:eastAsia="de-AT"/>
              </w:rPr>
              <w:t>2011/2012</w:t>
            </w:r>
          </w:p>
        </w:tc>
        <w:tc>
          <w:tcPr>
            <w:tcW w:w="11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15708" w:rsidRPr="00A61A98" w:rsidRDefault="00B15708">
            <w:pPr>
              <w:jc w:val="center"/>
              <w:rPr>
                <w:rFonts w:cs="Arial"/>
                <w:sz w:val="22"/>
                <w:lang w:eastAsia="de-AT"/>
              </w:rPr>
            </w:pPr>
            <w:r w:rsidRPr="00A61A98">
              <w:rPr>
                <w:lang w:eastAsia="de-AT"/>
              </w:rPr>
              <w:t>2010/2011</w:t>
            </w:r>
          </w:p>
        </w:tc>
      </w:tr>
      <w:tr w:rsidR="00B15708" w:rsidRPr="00A61A98" w:rsidTr="005609F6">
        <w:trPr>
          <w:trHeight w:val="300"/>
        </w:trPr>
        <w:tc>
          <w:tcPr>
            <w:tcW w:w="2283"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bottom"/>
            <w:hideMark/>
          </w:tcPr>
          <w:p w:rsidR="00B15708" w:rsidRPr="00A61A98" w:rsidRDefault="00EB7250" w:rsidP="00EB7250">
            <w:pPr>
              <w:rPr>
                <w:rFonts w:cs="Arial"/>
                <w:sz w:val="22"/>
                <w:lang w:eastAsia="de-AT"/>
              </w:rPr>
            </w:pPr>
            <w:proofErr w:type="spellStart"/>
            <w:r>
              <w:rPr>
                <w:lang w:eastAsia="de-AT"/>
              </w:rPr>
              <w:t>Revenues</w:t>
            </w:r>
            <w:proofErr w:type="spellEnd"/>
            <w:r w:rsidR="00B15708" w:rsidRPr="00A61A98">
              <w:rPr>
                <w:lang w:eastAsia="de-AT"/>
              </w:rPr>
              <w:t xml:space="preserve"> in </w:t>
            </w:r>
            <w:proofErr w:type="spellStart"/>
            <w:r>
              <w:rPr>
                <w:lang w:eastAsia="de-AT"/>
              </w:rPr>
              <w:t>million</w:t>
            </w:r>
            <w:proofErr w:type="spellEnd"/>
            <w:r w:rsidR="00B15708" w:rsidRPr="00A61A98">
              <w:rPr>
                <w:lang w:eastAsia="de-AT"/>
              </w:rPr>
              <w:t xml:space="preserve"> Euro</w:t>
            </w:r>
            <w:r>
              <w:rPr>
                <w:lang w:eastAsia="de-AT"/>
              </w:rPr>
              <w:t>s</w:t>
            </w:r>
          </w:p>
        </w:tc>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5708" w:rsidRPr="00A61A98" w:rsidRDefault="00B15708">
            <w:pPr>
              <w:jc w:val="center"/>
              <w:rPr>
                <w:lang w:eastAsia="de-AT"/>
              </w:rPr>
            </w:pPr>
            <w:r>
              <w:rPr>
                <w:lang w:eastAsia="de-AT"/>
              </w:rPr>
              <w:t>570</w:t>
            </w:r>
          </w:p>
        </w:tc>
        <w:tc>
          <w:tcPr>
            <w:tcW w:w="1118" w:type="dxa"/>
            <w:tcBorders>
              <w:top w:val="single" w:sz="8" w:space="0" w:color="auto"/>
              <w:left w:val="single" w:sz="4" w:space="0" w:color="auto"/>
              <w:bottom w:val="single" w:sz="8" w:space="0" w:color="auto"/>
              <w:right w:val="single" w:sz="4" w:space="0" w:color="auto"/>
            </w:tcBorders>
            <w:shd w:val="clear" w:color="auto" w:fill="D9D9D9" w:themeFill="background1" w:themeFillShade="D9"/>
            <w:noWrap/>
            <w:tcMar>
              <w:top w:w="0" w:type="dxa"/>
              <w:left w:w="70" w:type="dxa"/>
              <w:bottom w:w="0" w:type="dxa"/>
              <w:right w:w="70" w:type="dxa"/>
            </w:tcMar>
            <w:vAlign w:val="bottom"/>
            <w:hideMark/>
          </w:tcPr>
          <w:p w:rsidR="00B15708" w:rsidRPr="00B15708" w:rsidRDefault="00B15708">
            <w:pPr>
              <w:jc w:val="center"/>
              <w:rPr>
                <w:rFonts w:cs="Arial"/>
                <w:b/>
                <w:sz w:val="22"/>
                <w:lang w:eastAsia="de-AT"/>
              </w:rPr>
            </w:pPr>
            <w:r w:rsidRPr="00B15708">
              <w:rPr>
                <w:b/>
                <w:lang w:eastAsia="de-AT"/>
              </w:rPr>
              <w:t>475</w:t>
            </w:r>
          </w:p>
        </w:tc>
        <w:tc>
          <w:tcPr>
            <w:tcW w:w="1118" w:type="dxa"/>
            <w:tcBorders>
              <w:top w:val="nil"/>
              <w:left w:val="single" w:sz="4" w:space="0" w:color="auto"/>
              <w:bottom w:val="single" w:sz="8" w:space="0" w:color="auto"/>
              <w:right w:val="single" w:sz="8" w:space="0" w:color="auto"/>
            </w:tcBorders>
            <w:noWrap/>
            <w:tcMar>
              <w:top w:w="0" w:type="dxa"/>
              <w:left w:w="70" w:type="dxa"/>
              <w:bottom w:w="0" w:type="dxa"/>
              <w:right w:w="70" w:type="dxa"/>
            </w:tcMar>
            <w:vAlign w:val="bottom"/>
            <w:hideMark/>
          </w:tcPr>
          <w:p w:rsidR="00B15708" w:rsidRPr="00A61A98" w:rsidRDefault="00B15708" w:rsidP="00EB7250">
            <w:pPr>
              <w:jc w:val="center"/>
              <w:rPr>
                <w:rFonts w:cs="Arial"/>
                <w:sz w:val="22"/>
                <w:lang w:eastAsia="de-AT"/>
              </w:rPr>
            </w:pPr>
            <w:r w:rsidRPr="00A61A98">
              <w:rPr>
                <w:lang w:eastAsia="de-AT"/>
              </w:rPr>
              <w:t>370</w:t>
            </w:r>
            <w:r w:rsidR="00EB7250">
              <w:rPr>
                <w:lang w:eastAsia="de-AT"/>
              </w:rPr>
              <w:t>.</w:t>
            </w:r>
            <w:r w:rsidRPr="00A61A98">
              <w:rPr>
                <w:lang w:eastAsia="de-AT"/>
              </w:rPr>
              <w:t>6</w:t>
            </w:r>
          </w:p>
        </w:tc>
        <w:tc>
          <w:tcPr>
            <w:tcW w:w="1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5708" w:rsidRPr="00A61A98" w:rsidRDefault="00B15708" w:rsidP="00EB7250">
            <w:pPr>
              <w:jc w:val="center"/>
              <w:rPr>
                <w:rFonts w:cs="Arial"/>
                <w:sz w:val="22"/>
                <w:lang w:eastAsia="de-AT"/>
              </w:rPr>
            </w:pPr>
            <w:r w:rsidRPr="00A61A98">
              <w:rPr>
                <w:lang w:eastAsia="de-AT"/>
              </w:rPr>
              <w:t>388</w:t>
            </w:r>
            <w:r w:rsidR="00EB7250">
              <w:rPr>
                <w:lang w:eastAsia="de-AT"/>
              </w:rPr>
              <w:t>.</w:t>
            </w:r>
            <w:r w:rsidRPr="00A61A98">
              <w:rPr>
                <w:lang w:eastAsia="de-AT"/>
              </w:rPr>
              <w:t>9</w:t>
            </w:r>
          </w:p>
        </w:tc>
        <w:tc>
          <w:tcPr>
            <w:tcW w:w="1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5708" w:rsidRPr="00A61A98" w:rsidRDefault="00B15708" w:rsidP="00EB7250">
            <w:pPr>
              <w:jc w:val="center"/>
              <w:rPr>
                <w:rFonts w:cs="Arial"/>
                <w:sz w:val="22"/>
                <w:lang w:eastAsia="de-AT"/>
              </w:rPr>
            </w:pPr>
            <w:r w:rsidRPr="00A61A98">
              <w:rPr>
                <w:lang w:eastAsia="de-AT"/>
              </w:rPr>
              <w:t>362</w:t>
            </w:r>
            <w:r w:rsidR="00EB7250">
              <w:rPr>
                <w:lang w:eastAsia="de-AT"/>
              </w:rPr>
              <w:t>.</w:t>
            </w:r>
            <w:r w:rsidRPr="00A61A98">
              <w:rPr>
                <w:lang w:eastAsia="de-AT"/>
              </w:rPr>
              <w:t>3</w:t>
            </w:r>
          </w:p>
        </w:tc>
        <w:tc>
          <w:tcPr>
            <w:tcW w:w="1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5708" w:rsidRPr="00A61A98" w:rsidRDefault="00B15708" w:rsidP="00EB7250">
            <w:pPr>
              <w:jc w:val="center"/>
              <w:rPr>
                <w:rFonts w:cs="Arial"/>
                <w:sz w:val="22"/>
                <w:lang w:eastAsia="de-AT"/>
              </w:rPr>
            </w:pPr>
            <w:r w:rsidRPr="00A61A98">
              <w:rPr>
                <w:lang w:eastAsia="de-AT"/>
              </w:rPr>
              <w:t>296</w:t>
            </w:r>
            <w:r w:rsidR="00EB7250">
              <w:rPr>
                <w:lang w:eastAsia="de-AT"/>
              </w:rPr>
              <w:t>.</w:t>
            </w:r>
            <w:r w:rsidRPr="00A61A98">
              <w:rPr>
                <w:lang w:eastAsia="de-AT"/>
              </w:rPr>
              <w:t>8</w:t>
            </w:r>
          </w:p>
        </w:tc>
      </w:tr>
      <w:tr w:rsidR="00B15708" w:rsidRPr="00A61A98" w:rsidTr="005609F6">
        <w:trPr>
          <w:trHeight w:val="300"/>
        </w:trPr>
        <w:tc>
          <w:tcPr>
            <w:tcW w:w="2283"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bottom"/>
            <w:hideMark/>
          </w:tcPr>
          <w:p w:rsidR="00B15708" w:rsidRPr="00A61A98" w:rsidRDefault="00B15708" w:rsidP="00EB7250">
            <w:pPr>
              <w:rPr>
                <w:rFonts w:cs="Arial"/>
                <w:sz w:val="22"/>
                <w:lang w:eastAsia="de-AT"/>
              </w:rPr>
            </w:pPr>
            <w:r w:rsidRPr="00A61A98">
              <w:rPr>
                <w:lang w:eastAsia="de-AT"/>
              </w:rPr>
              <w:t xml:space="preserve">EBIT in </w:t>
            </w:r>
            <w:proofErr w:type="spellStart"/>
            <w:r w:rsidR="00EB7250">
              <w:rPr>
                <w:lang w:eastAsia="de-AT"/>
              </w:rPr>
              <w:t>million</w:t>
            </w:r>
            <w:proofErr w:type="spellEnd"/>
            <w:r w:rsidRPr="00A61A98">
              <w:rPr>
                <w:lang w:eastAsia="de-AT"/>
              </w:rPr>
              <w:t xml:space="preserve"> Euro</w:t>
            </w:r>
            <w:r w:rsidR="00EB7250">
              <w:rPr>
                <w:lang w:eastAsia="de-AT"/>
              </w:rPr>
              <w:t>s</w:t>
            </w:r>
          </w:p>
        </w:tc>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5708" w:rsidRPr="00A61A98" w:rsidRDefault="00B15708">
            <w:pPr>
              <w:jc w:val="center"/>
              <w:rPr>
                <w:lang w:eastAsia="de-AT"/>
              </w:rPr>
            </w:pPr>
          </w:p>
        </w:tc>
        <w:tc>
          <w:tcPr>
            <w:tcW w:w="1118" w:type="dxa"/>
            <w:tcBorders>
              <w:top w:val="single" w:sz="8" w:space="0" w:color="auto"/>
              <w:left w:val="single" w:sz="4" w:space="0" w:color="auto"/>
              <w:bottom w:val="single" w:sz="8" w:space="0" w:color="auto"/>
              <w:right w:val="single" w:sz="4" w:space="0" w:color="auto"/>
            </w:tcBorders>
            <w:shd w:val="clear" w:color="auto" w:fill="D9D9D9" w:themeFill="background1" w:themeFillShade="D9"/>
            <w:noWrap/>
            <w:tcMar>
              <w:top w:w="0" w:type="dxa"/>
              <w:left w:w="70" w:type="dxa"/>
              <w:bottom w:w="0" w:type="dxa"/>
              <w:right w:w="70" w:type="dxa"/>
            </w:tcMar>
            <w:vAlign w:val="bottom"/>
            <w:hideMark/>
          </w:tcPr>
          <w:p w:rsidR="00B15708" w:rsidRPr="00B15708" w:rsidRDefault="007B400C" w:rsidP="00A11B97">
            <w:pPr>
              <w:jc w:val="center"/>
              <w:rPr>
                <w:rFonts w:cs="Arial"/>
                <w:b/>
                <w:sz w:val="22"/>
                <w:lang w:eastAsia="de-AT"/>
              </w:rPr>
            </w:pPr>
            <w:r>
              <w:rPr>
                <w:b/>
                <w:lang w:eastAsia="de-AT"/>
              </w:rPr>
              <w:t>29.</w:t>
            </w:r>
            <w:r w:rsidR="00A11B97">
              <w:rPr>
                <w:b/>
                <w:lang w:eastAsia="de-AT"/>
              </w:rPr>
              <w:t>2</w:t>
            </w:r>
          </w:p>
        </w:tc>
        <w:tc>
          <w:tcPr>
            <w:tcW w:w="1118" w:type="dxa"/>
            <w:tcBorders>
              <w:top w:val="nil"/>
              <w:left w:val="single" w:sz="4" w:space="0" w:color="auto"/>
              <w:bottom w:val="single" w:sz="8" w:space="0" w:color="auto"/>
              <w:right w:val="single" w:sz="8" w:space="0" w:color="auto"/>
            </w:tcBorders>
            <w:noWrap/>
            <w:tcMar>
              <w:top w:w="0" w:type="dxa"/>
              <w:left w:w="70" w:type="dxa"/>
              <w:bottom w:w="0" w:type="dxa"/>
              <w:right w:w="70" w:type="dxa"/>
            </w:tcMar>
            <w:vAlign w:val="bottom"/>
            <w:hideMark/>
          </w:tcPr>
          <w:p w:rsidR="00B15708" w:rsidRPr="00A61A98" w:rsidRDefault="00EB7250" w:rsidP="00EB7250">
            <w:pPr>
              <w:jc w:val="center"/>
              <w:rPr>
                <w:rFonts w:ascii="Calibri" w:hAnsi="Calibri"/>
                <w:sz w:val="22"/>
                <w:lang w:eastAsia="de-AT"/>
              </w:rPr>
            </w:pPr>
            <w:r>
              <w:rPr>
                <w:lang w:eastAsia="de-AT"/>
              </w:rPr>
              <w:t>15.</w:t>
            </w:r>
            <w:r w:rsidR="00B15708" w:rsidRPr="00A61A98">
              <w:rPr>
                <w:lang w:eastAsia="de-AT"/>
              </w:rPr>
              <w:t>4</w:t>
            </w:r>
          </w:p>
        </w:tc>
        <w:tc>
          <w:tcPr>
            <w:tcW w:w="1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5708" w:rsidRPr="00A61A98" w:rsidRDefault="00B15708" w:rsidP="00EB7250">
            <w:pPr>
              <w:jc w:val="center"/>
              <w:rPr>
                <w:rFonts w:ascii="Calibri" w:hAnsi="Calibri"/>
                <w:sz w:val="22"/>
                <w:lang w:eastAsia="de-AT"/>
              </w:rPr>
            </w:pPr>
            <w:r w:rsidRPr="00A61A98">
              <w:rPr>
                <w:lang w:eastAsia="de-AT"/>
              </w:rPr>
              <w:t>16</w:t>
            </w:r>
            <w:r w:rsidR="00EB7250">
              <w:rPr>
                <w:lang w:eastAsia="de-AT"/>
              </w:rPr>
              <w:t>.</w:t>
            </w:r>
            <w:r w:rsidR="00A11B97">
              <w:rPr>
                <w:lang w:eastAsia="de-AT"/>
              </w:rPr>
              <w:t>2</w:t>
            </w:r>
          </w:p>
        </w:tc>
        <w:tc>
          <w:tcPr>
            <w:tcW w:w="1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5708" w:rsidRPr="00A61A98" w:rsidRDefault="00EB7250" w:rsidP="00A11B97">
            <w:pPr>
              <w:jc w:val="center"/>
              <w:rPr>
                <w:rFonts w:ascii="Calibri" w:hAnsi="Calibri"/>
                <w:sz w:val="22"/>
                <w:lang w:eastAsia="de-AT"/>
              </w:rPr>
            </w:pPr>
            <w:r>
              <w:rPr>
                <w:lang w:eastAsia="de-AT"/>
              </w:rPr>
              <w:t>17.</w:t>
            </w:r>
            <w:r w:rsidR="00B15708" w:rsidRPr="00A61A98">
              <w:rPr>
                <w:lang w:eastAsia="de-AT"/>
              </w:rPr>
              <w:t>9</w:t>
            </w:r>
          </w:p>
        </w:tc>
        <w:tc>
          <w:tcPr>
            <w:tcW w:w="1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5708" w:rsidRPr="00A61A98" w:rsidRDefault="00B15708" w:rsidP="00EB7250">
            <w:pPr>
              <w:jc w:val="center"/>
              <w:rPr>
                <w:rFonts w:ascii="Calibri" w:hAnsi="Calibri"/>
                <w:sz w:val="22"/>
                <w:lang w:eastAsia="de-AT"/>
              </w:rPr>
            </w:pPr>
            <w:r w:rsidRPr="00A61A98">
              <w:rPr>
                <w:lang w:eastAsia="de-AT"/>
              </w:rPr>
              <w:t>18</w:t>
            </w:r>
            <w:r w:rsidR="00EB7250">
              <w:rPr>
                <w:lang w:eastAsia="de-AT"/>
              </w:rPr>
              <w:t>.</w:t>
            </w:r>
            <w:r w:rsidRPr="00A61A98">
              <w:rPr>
                <w:lang w:eastAsia="de-AT"/>
              </w:rPr>
              <w:t>4</w:t>
            </w:r>
          </w:p>
        </w:tc>
      </w:tr>
      <w:tr w:rsidR="00A11B97" w:rsidRPr="00A61A98" w:rsidTr="005609F6">
        <w:trPr>
          <w:trHeight w:val="300"/>
        </w:trPr>
        <w:tc>
          <w:tcPr>
            <w:tcW w:w="2283"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bottom"/>
          </w:tcPr>
          <w:p w:rsidR="00A11B97" w:rsidRPr="005609F6" w:rsidRDefault="00EB7250" w:rsidP="00EB7250">
            <w:pPr>
              <w:rPr>
                <w:lang w:val="it-IT" w:eastAsia="de-AT"/>
              </w:rPr>
            </w:pPr>
            <w:r>
              <w:rPr>
                <w:lang w:val="it-IT" w:eastAsia="de-AT"/>
              </w:rPr>
              <w:lastRenderedPageBreak/>
              <w:t xml:space="preserve">Group </w:t>
            </w:r>
            <w:proofErr w:type="spellStart"/>
            <w:r>
              <w:rPr>
                <w:lang w:val="it-IT" w:eastAsia="de-AT"/>
              </w:rPr>
              <w:t>employees</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11B97" w:rsidRPr="00A61A98" w:rsidRDefault="00A11B97" w:rsidP="00B244D7">
            <w:pPr>
              <w:jc w:val="center"/>
              <w:rPr>
                <w:lang w:eastAsia="de-AT"/>
              </w:rPr>
            </w:pPr>
          </w:p>
        </w:tc>
        <w:tc>
          <w:tcPr>
            <w:tcW w:w="1118" w:type="dxa"/>
            <w:tcBorders>
              <w:top w:val="single" w:sz="8" w:space="0" w:color="auto"/>
              <w:left w:val="single" w:sz="4" w:space="0" w:color="auto"/>
              <w:bottom w:val="single" w:sz="8" w:space="0" w:color="auto"/>
              <w:right w:val="single" w:sz="4" w:space="0" w:color="auto"/>
            </w:tcBorders>
            <w:shd w:val="clear" w:color="auto" w:fill="D9D9D9" w:themeFill="background1" w:themeFillShade="D9"/>
            <w:noWrap/>
            <w:tcMar>
              <w:top w:w="0" w:type="dxa"/>
              <w:left w:w="70" w:type="dxa"/>
              <w:bottom w:w="0" w:type="dxa"/>
              <w:right w:w="70" w:type="dxa"/>
            </w:tcMar>
            <w:vAlign w:val="bottom"/>
          </w:tcPr>
          <w:p w:rsidR="00A11B97" w:rsidRPr="00B15708" w:rsidRDefault="00A11B97" w:rsidP="00795FD3">
            <w:pPr>
              <w:jc w:val="center"/>
              <w:rPr>
                <w:b/>
                <w:lang w:eastAsia="de-AT"/>
              </w:rPr>
            </w:pPr>
            <w:r>
              <w:rPr>
                <w:b/>
                <w:lang w:eastAsia="de-AT"/>
              </w:rPr>
              <w:t>2</w:t>
            </w:r>
            <w:r w:rsidR="007B400C">
              <w:rPr>
                <w:b/>
                <w:lang w:eastAsia="de-AT"/>
              </w:rPr>
              <w:t>,</w:t>
            </w:r>
            <w:r w:rsidR="00B244D7">
              <w:rPr>
                <w:b/>
                <w:lang w:eastAsia="de-AT"/>
              </w:rPr>
              <w:t>350</w:t>
            </w:r>
          </w:p>
        </w:tc>
        <w:tc>
          <w:tcPr>
            <w:tcW w:w="1118" w:type="dxa"/>
            <w:tcBorders>
              <w:top w:val="nil"/>
              <w:left w:val="single" w:sz="4" w:space="0" w:color="auto"/>
              <w:bottom w:val="single" w:sz="8" w:space="0" w:color="auto"/>
              <w:right w:val="single" w:sz="8" w:space="0" w:color="auto"/>
            </w:tcBorders>
            <w:noWrap/>
            <w:tcMar>
              <w:top w:w="0" w:type="dxa"/>
              <w:left w:w="70" w:type="dxa"/>
              <w:bottom w:w="0" w:type="dxa"/>
              <w:right w:w="70" w:type="dxa"/>
            </w:tcMar>
            <w:vAlign w:val="bottom"/>
          </w:tcPr>
          <w:p w:rsidR="00A11B97" w:rsidRPr="00A61A98" w:rsidRDefault="00A11B97" w:rsidP="00795FD3">
            <w:pPr>
              <w:jc w:val="center"/>
              <w:rPr>
                <w:lang w:eastAsia="de-AT"/>
              </w:rPr>
            </w:pPr>
            <w:r>
              <w:rPr>
                <w:lang w:eastAsia="de-AT"/>
              </w:rPr>
              <w:t>2</w:t>
            </w:r>
            <w:r w:rsidR="00EB7250">
              <w:rPr>
                <w:lang w:eastAsia="de-AT"/>
              </w:rPr>
              <w:t>,</w:t>
            </w:r>
            <w:r>
              <w:rPr>
                <w:lang w:eastAsia="de-AT"/>
              </w:rPr>
              <w:t>000</w:t>
            </w:r>
          </w:p>
        </w:tc>
        <w:tc>
          <w:tcPr>
            <w:tcW w:w="1118"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11B97" w:rsidRPr="00A61A98" w:rsidRDefault="00A11B97">
            <w:pPr>
              <w:jc w:val="center"/>
              <w:rPr>
                <w:lang w:eastAsia="de-AT"/>
              </w:rPr>
            </w:pPr>
            <w:r>
              <w:rPr>
                <w:lang w:eastAsia="de-AT"/>
              </w:rPr>
              <w:t>1</w:t>
            </w:r>
            <w:r w:rsidR="00EB7250">
              <w:rPr>
                <w:lang w:eastAsia="de-AT"/>
              </w:rPr>
              <w:t>,</w:t>
            </w:r>
            <w:r>
              <w:rPr>
                <w:lang w:eastAsia="de-AT"/>
              </w:rPr>
              <w:t>750</w:t>
            </w:r>
          </w:p>
        </w:tc>
        <w:tc>
          <w:tcPr>
            <w:tcW w:w="1118"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11B97" w:rsidRPr="00A61A98" w:rsidRDefault="00A11B97">
            <w:pPr>
              <w:jc w:val="center"/>
              <w:rPr>
                <w:lang w:eastAsia="de-AT"/>
              </w:rPr>
            </w:pPr>
            <w:r>
              <w:rPr>
                <w:lang w:eastAsia="de-AT"/>
              </w:rPr>
              <w:t>1</w:t>
            </w:r>
            <w:r w:rsidR="00EB7250">
              <w:rPr>
                <w:lang w:eastAsia="de-AT"/>
              </w:rPr>
              <w:t>,</w:t>
            </w:r>
            <w:r>
              <w:rPr>
                <w:lang w:eastAsia="de-AT"/>
              </w:rPr>
              <w:t>600</w:t>
            </w:r>
          </w:p>
        </w:tc>
        <w:tc>
          <w:tcPr>
            <w:tcW w:w="1118"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11B97" w:rsidRPr="00A61A98" w:rsidRDefault="00795FD3">
            <w:pPr>
              <w:jc w:val="center"/>
              <w:rPr>
                <w:lang w:eastAsia="de-AT"/>
              </w:rPr>
            </w:pPr>
            <w:r>
              <w:rPr>
                <w:lang w:eastAsia="de-AT"/>
              </w:rPr>
              <w:t>1</w:t>
            </w:r>
            <w:r w:rsidR="00EB7250">
              <w:rPr>
                <w:lang w:eastAsia="de-AT"/>
              </w:rPr>
              <w:t>,</w:t>
            </w:r>
            <w:r>
              <w:rPr>
                <w:lang w:eastAsia="de-AT"/>
              </w:rPr>
              <w:t>350</w:t>
            </w:r>
          </w:p>
        </w:tc>
      </w:tr>
      <w:tr w:rsidR="00B15708" w:rsidRPr="00A61A98" w:rsidTr="005609F6">
        <w:trPr>
          <w:trHeight w:val="300"/>
        </w:trPr>
        <w:tc>
          <w:tcPr>
            <w:tcW w:w="2283"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bottom"/>
            <w:hideMark/>
          </w:tcPr>
          <w:p w:rsidR="00B15708" w:rsidRPr="006F7556" w:rsidRDefault="00A54489" w:rsidP="00A54489">
            <w:pPr>
              <w:rPr>
                <w:rFonts w:cs="Arial"/>
                <w:sz w:val="22"/>
                <w:lang w:val="de-AT" w:eastAsia="de-AT"/>
              </w:rPr>
            </w:pPr>
            <w:r w:rsidRPr="006F7556">
              <w:rPr>
                <w:lang w:val="de-AT" w:eastAsia="de-AT"/>
              </w:rPr>
              <w:t>R</w:t>
            </w:r>
            <w:r w:rsidR="00B15708" w:rsidRPr="006F7556">
              <w:rPr>
                <w:lang w:val="de-AT" w:eastAsia="de-AT"/>
              </w:rPr>
              <w:t>&amp;</w:t>
            </w:r>
            <w:r w:rsidRPr="006F7556">
              <w:rPr>
                <w:lang w:val="de-AT" w:eastAsia="de-AT"/>
              </w:rPr>
              <w:t>D</w:t>
            </w:r>
            <w:r w:rsidR="00B15708" w:rsidRPr="006F7556">
              <w:rPr>
                <w:lang w:val="de-AT" w:eastAsia="de-AT"/>
              </w:rPr>
              <w:t xml:space="preserve"> in </w:t>
            </w:r>
            <w:proofErr w:type="spellStart"/>
            <w:r w:rsidR="00EB7250" w:rsidRPr="006F7556">
              <w:rPr>
                <w:lang w:val="de-AT" w:eastAsia="de-AT"/>
              </w:rPr>
              <w:t>million</w:t>
            </w:r>
            <w:proofErr w:type="spellEnd"/>
            <w:r w:rsidR="00B15708" w:rsidRPr="006F7556">
              <w:rPr>
                <w:lang w:val="de-AT" w:eastAsia="de-AT"/>
              </w:rPr>
              <w:t xml:space="preserve"> Euro</w:t>
            </w:r>
            <w:r w:rsidR="00EB7250" w:rsidRPr="006F7556">
              <w:rPr>
                <w:lang w:val="de-AT" w:eastAsia="de-AT"/>
              </w:rPr>
              <w:t>s</w:t>
            </w:r>
          </w:p>
        </w:tc>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5708" w:rsidRPr="006F7556" w:rsidRDefault="00B15708">
            <w:pPr>
              <w:jc w:val="center"/>
              <w:rPr>
                <w:lang w:val="de-AT" w:eastAsia="de-AT"/>
              </w:rPr>
            </w:pPr>
          </w:p>
        </w:tc>
        <w:tc>
          <w:tcPr>
            <w:tcW w:w="1118" w:type="dxa"/>
            <w:tcBorders>
              <w:top w:val="single" w:sz="8" w:space="0" w:color="auto"/>
              <w:left w:val="single" w:sz="4" w:space="0" w:color="auto"/>
              <w:bottom w:val="single" w:sz="8" w:space="0" w:color="auto"/>
              <w:right w:val="single" w:sz="4" w:space="0" w:color="auto"/>
            </w:tcBorders>
            <w:shd w:val="clear" w:color="auto" w:fill="D9D9D9" w:themeFill="background1" w:themeFillShade="D9"/>
            <w:noWrap/>
            <w:tcMar>
              <w:top w:w="0" w:type="dxa"/>
              <w:left w:w="70" w:type="dxa"/>
              <w:bottom w:w="0" w:type="dxa"/>
              <w:right w:w="70" w:type="dxa"/>
            </w:tcMar>
            <w:vAlign w:val="bottom"/>
            <w:hideMark/>
          </w:tcPr>
          <w:p w:rsidR="00B15708" w:rsidRPr="00B15708" w:rsidRDefault="007B400C" w:rsidP="00A11B97">
            <w:pPr>
              <w:jc w:val="center"/>
              <w:rPr>
                <w:rFonts w:cs="Arial"/>
                <w:b/>
                <w:sz w:val="22"/>
                <w:lang w:eastAsia="de-AT"/>
              </w:rPr>
            </w:pPr>
            <w:r>
              <w:rPr>
                <w:b/>
                <w:lang w:eastAsia="de-AT"/>
              </w:rPr>
              <w:t>10.</w:t>
            </w:r>
            <w:r w:rsidR="00A11B97">
              <w:rPr>
                <w:b/>
                <w:lang w:eastAsia="de-AT"/>
              </w:rPr>
              <w:t>8</w:t>
            </w:r>
            <w:r w:rsidR="00A11B97" w:rsidRPr="00B15708">
              <w:rPr>
                <w:b/>
                <w:lang w:eastAsia="de-AT"/>
              </w:rPr>
              <w:t> </w:t>
            </w:r>
          </w:p>
        </w:tc>
        <w:tc>
          <w:tcPr>
            <w:tcW w:w="1118" w:type="dxa"/>
            <w:tcBorders>
              <w:top w:val="nil"/>
              <w:left w:val="single" w:sz="4" w:space="0" w:color="auto"/>
              <w:bottom w:val="single" w:sz="8" w:space="0" w:color="auto"/>
              <w:right w:val="single" w:sz="8" w:space="0" w:color="auto"/>
            </w:tcBorders>
            <w:noWrap/>
            <w:tcMar>
              <w:top w:w="0" w:type="dxa"/>
              <w:left w:w="70" w:type="dxa"/>
              <w:bottom w:w="0" w:type="dxa"/>
              <w:right w:w="70" w:type="dxa"/>
            </w:tcMar>
            <w:vAlign w:val="bottom"/>
            <w:hideMark/>
          </w:tcPr>
          <w:p w:rsidR="00B15708" w:rsidRPr="00A61A98" w:rsidRDefault="00B15708" w:rsidP="00EB7250">
            <w:pPr>
              <w:jc w:val="center"/>
              <w:rPr>
                <w:rFonts w:cs="Arial"/>
                <w:sz w:val="22"/>
                <w:lang w:eastAsia="de-AT"/>
              </w:rPr>
            </w:pPr>
            <w:r w:rsidRPr="00A61A98">
              <w:rPr>
                <w:lang w:eastAsia="de-AT"/>
              </w:rPr>
              <w:t> 7</w:t>
            </w:r>
            <w:r w:rsidR="00EB7250">
              <w:rPr>
                <w:lang w:eastAsia="de-AT"/>
              </w:rPr>
              <w:t>.</w:t>
            </w:r>
            <w:r w:rsidRPr="00A61A98">
              <w:rPr>
                <w:lang w:eastAsia="de-AT"/>
              </w:rPr>
              <w:t>8</w:t>
            </w:r>
          </w:p>
        </w:tc>
        <w:tc>
          <w:tcPr>
            <w:tcW w:w="1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5708" w:rsidRPr="00A61A98" w:rsidRDefault="00B15708" w:rsidP="00EB7250">
            <w:pPr>
              <w:jc w:val="center"/>
              <w:rPr>
                <w:rFonts w:cs="Arial"/>
                <w:sz w:val="22"/>
                <w:lang w:eastAsia="de-AT"/>
              </w:rPr>
            </w:pPr>
            <w:r w:rsidRPr="00A61A98">
              <w:rPr>
                <w:lang w:eastAsia="de-AT"/>
              </w:rPr>
              <w:t> 7</w:t>
            </w:r>
            <w:r w:rsidR="00EB7250">
              <w:rPr>
                <w:lang w:eastAsia="de-AT"/>
              </w:rPr>
              <w:t>.</w:t>
            </w:r>
            <w:r w:rsidR="00A11B97">
              <w:rPr>
                <w:lang w:eastAsia="de-AT"/>
              </w:rPr>
              <w:t>5</w:t>
            </w:r>
          </w:p>
        </w:tc>
        <w:tc>
          <w:tcPr>
            <w:tcW w:w="1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5708" w:rsidRPr="00A61A98" w:rsidRDefault="00B15708" w:rsidP="00EB7250">
            <w:pPr>
              <w:jc w:val="center"/>
              <w:rPr>
                <w:rFonts w:cs="Arial"/>
                <w:sz w:val="22"/>
                <w:lang w:eastAsia="de-AT"/>
              </w:rPr>
            </w:pPr>
            <w:r w:rsidRPr="00A61A98">
              <w:rPr>
                <w:lang w:eastAsia="de-AT"/>
              </w:rPr>
              <w:t>6</w:t>
            </w:r>
            <w:r w:rsidR="00EB7250">
              <w:rPr>
                <w:lang w:eastAsia="de-AT"/>
              </w:rPr>
              <w:t>.</w:t>
            </w:r>
            <w:r w:rsidR="00A11B97">
              <w:rPr>
                <w:lang w:eastAsia="de-AT"/>
              </w:rPr>
              <w:t>3</w:t>
            </w:r>
          </w:p>
        </w:tc>
        <w:tc>
          <w:tcPr>
            <w:tcW w:w="1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15708" w:rsidRPr="00A61A98" w:rsidRDefault="00B15708" w:rsidP="00EB7250">
            <w:pPr>
              <w:jc w:val="center"/>
              <w:rPr>
                <w:rFonts w:cs="Arial"/>
                <w:sz w:val="22"/>
                <w:lang w:eastAsia="de-AT"/>
              </w:rPr>
            </w:pPr>
            <w:r w:rsidRPr="00A61A98">
              <w:rPr>
                <w:lang w:eastAsia="de-AT"/>
              </w:rPr>
              <w:t>6</w:t>
            </w:r>
            <w:r w:rsidR="00EB7250">
              <w:rPr>
                <w:lang w:eastAsia="de-AT"/>
              </w:rPr>
              <w:t>.</w:t>
            </w:r>
            <w:r w:rsidR="00A11B97">
              <w:rPr>
                <w:lang w:eastAsia="de-AT"/>
              </w:rPr>
              <w:t>2</w:t>
            </w:r>
            <w:r w:rsidR="00A11B97" w:rsidRPr="00A61A98">
              <w:rPr>
                <w:lang w:eastAsia="de-AT"/>
              </w:rPr>
              <w:t> </w:t>
            </w:r>
          </w:p>
        </w:tc>
      </w:tr>
    </w:tbl>
    <w:p w:rsidR="00C40B71" w:rsidRDefault="00C40B71" w:rsidP="00951E90">
      <w:pPr>
        <w:ind w:right="1837"/>
        <w:rPr>
          <w:highlight w:val="yellow"/>
        </w:rPr>
      </w:pPr>
    </w:p>
    <w:p w:rsidR="00A61A98" w:rsidRDefault="00A61A98" w:rsidP="00951E90">
      <w:pPr>
        <w:ind w:right="1837"/>
        <w:rPr>
          <w:highlight w:val="yellow"/>
        </w:rPr>
      </w:pPr>
    </w:p>
    <w:p w:rsidR="00B273AD" w:rsidRDefault="00A17C36" w:rsidP="00B273AD">
      <w:pPr>
        <w:ind w:right="1837"/>
        <w:rPr>
          <w:b/>
        </w:rPr>
      </w:pPr>
      <w:r>
        <w:rPr>
          <w:b/>
        </w:rPr>
        <w:t xml:space="preserve">Positive </w:t>
      </w:r>
      <w:proofErr w:type="spellStart"/>
      <w:r>
        <w:rPr>
          <w:b/>
        </w:rPr>
        <w:t>outlook</w:t>
      </w:r>
      <w:proofErr w:type="spellEnd"/>
      <w:r>
        <w:rPr>
          <w:b/>
        </w:rPr>
        <w:t xml:space="preserve"> on </w:t>
      </w:r>
      <w:r w:rsidR="00B273AD">
        <w:rPr>
          <w:b/>
        </w:rPr>
        <w:t>2015/2016</w:t>
      </w:r>
    </w:p>
    <w:p w:rsidR="00A17C36" w:rsidRDefault="00A17C36" w:rsidP="00603680">
      <w:pPr>
        <w:ind w:right="1837"/>
        <w:rPr>
          <w:lang w:val="en-GB"/>
        </w:rPr>
      </w:pPr>
      <w:r w:rsidRPr="006F7556">
        <w:rPr>
          <w:lang w:val="en-US"/>
        </w:rPr>
        <w:t>Georg Kirchmayr is confident</w:t>
      </w:r>
      <w:r w:rsidR="00A54489">
        <w:rPr>
          <w:lang w:val="en-US"/>
        </w:rPr>
        <w:t xml:space="preserve"> f</w:t>
      </w:r>
      <w:r w:rsidR="00A54489" w:rsidRPr="0095145D">
        <w:rPr>
          <w:lang w:val="en-US"/>
        </w:rPr>
        <w:t>or the business year 2015/2016</w:t>
      </w:r>
      <w:r w:rsidR="00A54489">
        <w:rPr>
          <w:lang w:val="en-US"/>
        </w:rPr>
        <w:t>, too</w:t>
      </w:r>
      <w:r w:rsidRPr="006F7556">
        <w:rPr>
          <w:lang w:val="en-US"/>
        </w:rPr>
        <w:t xml:space="preserve">: „We expect a further positive development. </w:t>
      </w:r>
      <w:r w:rsidRPr="00A17C36">
        <w:rPr>
          <w:lang w:val="en-GB"/>
        </w:rPr>
        <w:t>At the beginn</w:t>
      </w:r>
      <w:r w:rsidR="003C3575">
        <w:rPr>
          <w:lang w:val="en-GB"/>
        </w:rPr>
        <w:t>ing</w:t>
      </w:r>
      <w:r w:rsidRPr="00A17C36">
        <w:rPr>
          <w:lang w:val="en-GB"/>
        </w:rPr>
        <w:t xml:space="preserve"> of the current business year, already 70 per cent of</w:t>
      </w:r>
      <w:r>
        <w:rPr>
          <w:lang w:val="en-GB"/>
        </w:rPr>
        <w:t xml:space="preserve"> our operating performance were</w:t>
      </w:r>
      <w:r w:rsidR="00C57C88">
        <w:rPr>
          <w:lang w:val="en-GB"/>
        </w:rPr>
        <w:t xml:space="preserve"> set</w:t>
      </w:r>
      <w:r>
        <w:rPr>
          <w:lang w:val="en-GB"/>
        </w:rPr>
        <w:t>. This means safety for the following year</w:t>
      </w:r>
      <w:r w:rsidR="00CA6F06">
        <w:rPr>
          <w:lang w:val="en-GB"/>
        </w:rPr>
        <w:t>,</w:t>
      </w:r>
      <w:r>
        <w:rPr>
          <w:lang w:val="en-GB"/>
        </w:rPr>
        <w:t xml:space="preserve"> and we already establish the basis for the year after.”</w:t>
      </w:r>
    </w:p>
    <w:p w:rsidR="00A17C36" w:rsidRPr="00A17C36" w:rsidRDefault="00A17C36" w:rsidP="00603680">
      <w:pPr>
        <w:ind w:right="1837"/>
        <w:rPr>
          <w:lang w:val="en-GB"/>
        </w:rPr>
      </w:pPr>
      <w:r>
        <w:rPr>
          <w:lang w:val="en-GB"/>
        </w:rPr>
        <w:t>One of the most important drivers for the company is online retail. “We have dealt intensely with the e-commerce</w:t>
      </w:r>
      <w:r w:rsidR="00CA6F06">
        <w:rPr>
          <w:lang w:val="en-GB"/>
        </w:rPr>
        <w:t xml:space="preserve"> topic</w:t>
      </w:r>
      <w:r>
        <w:rPr>
          <w:lang w:val="en-GB"/>
        </w:rPr>
        <w:t xml:space="preserve">, </w:t>
      </w:r>
      <w:r w:rsidR="003C3575">
        <w:rPr>
          <w:lang w:val="en-GB"/>
        </w:rPr>
        <w:t>carried out</w:t>
      </w:r>
      <w:r>
        <w:rPr>
          <w:lang w:val="en-GB"/>
        </w:rPr>
        <w:t xml:space="preserve"> studies and </w:t>
      </w:r>
      <w:r w:rsidR="00CA6F06">
        <w:rPr>
          <w:lang w:val="en-GB"/>
        </w:rPr>
        <w:t xml:space="preserve">cooperate </w:t>
      </w:r>
      <w:r>
        <w:rPr>
          <w:lang w:val="en-GB"/>
        </w:rPr>
        <w:t xml:space="preserve">with universities. We know what we do and are therefore able to provide our customers with </w:t>
      </w:r>
      <w:r w:rsidR="00CA6F06">
        <w:rPr>
          <w:lang w:val="en-GB"/>
        </w:rPr>
        <w:t xml:space="preserve">optimum </w:t>
      </w:r>
      <w:r>
        <w:rPr>
          <w:lang w:val="en-GB"/>
        </w:rPr>
        <w:t xml:space="preserve">solutions for their successful future. </w:t>
      </w:r>
      <w:r w:rsidR="005D179E">
        <w:rPr>
          <w:lang w:val="en-GB"/>
        </w:rPr>
        <w:t>We know the business and the market trends</w:t>
      </w:r>
      <w:r w:rsidR="00CA6F06">
        <w:rPr>
          <w:lang w:val="en-GB"/>
        </w:rPr>
        <w:t>,</w:t>
      </w:r>
      <w:r w:rsidR="005D179E">
        <w:rPr>
          <w:lang w:val="en-GB"/>
        </w:rPr>
        <w:t xml:space="preserve"> and with </w:t>
      </w:r>
      <w:r w:rsidR="00CA6F06">
        <w:rPr>
          <w:lang w:val="en-GB"/>
        </w:rPr>
        <w:t xml:space="preserve">accurate </w:t>
      </w:r>
      <w:r w:rsidR="005D179E">
        <w:rPr>
          <w:lang w:val="en-GB"/>
        </w:rPr>
        <w:t xml:space="preserve">planning and </w:t>
      </w:r>
      <w:r w:rsidR="003C3575">
        <w:rPr>
          <w:lang w:val="en-GB"/>
        </w:rPr>
        <w:t>close</w:t>
      </w:r>
      <w:r w:rsidR="005D179E">
        <w:rPr>
          <w:lang w:val="en-GB"/>
        </w:rPr>
        <w:t xml:space="preserve"> teamwork with our customers, we find the ideal solution. This way, we convert the challenges of online retail into IT strategies and assure the operation.” </w:t>
      </w:r>
    </w:p>
    <w:p w:rsidR="004C775A" w:rsidRPr="006F7556" w:rsidRDefault="004C775A" w:rsidP="00603680">
      <w:pPr>
        <w:ind w:right="1837"/>
        <w:rPr>
          <w:lang w:val="en-US"/>
        </w:rPr>
      </w:pPr>
    </w:p>
    <w:p w:rsidR="006B2AE7" w:rsidRPr="0081786A" w:rsidRDefault="005D179E" w:rsidP="00BE102A">
      <w:pPr>
        <w:ind w:right="1837"/>
        <w:rPr>
          <w:b/>
          <w:lang w:val="en-GB"/>
        </w:rPr>
      </w:pPr>
      <w:r w:rsidRPr="0081786A">
        <w:rPr>
          <w:b/>
          <w:lang w:val="en-GB"/>
        </w:rPr>
        <w:t xml:space="preserve">Market trends in the industry </w:t>
      </w:r>
    </w:p>
    <w:p w:rsidR="005D179E" w:rsidRDefault="0081786A" w:rsidP="00455C3D">
      <w:pPr>
        <w:shd w:val="clear" w:color="auto" w:fill="FFFFFF"/>
        <w:ind w:right="1837"/>
        <w:rPr>
          <w:rStyle w:val="searchhighlight"/>
          <w:lang w:val="en-GB"/>
        </w:rPr>
      </w:pPr>
      <w:r w:rsidRPr="0081786A">
        <w:rPr>
          <w:rStyle w:val="searchhighlight"/>
          <w:lang w:val="en-GB"/>
        </w:rPr>
        <w:t xml:space="preserve">The </w:t>
      </w:r>
      <w:r>
        <w:rPr>
          <w:rStyle w:val="searchhighlight"/>
          <w:lang w:val="en-GB"/>
        </w:rPr>
        <w:t xml:space="preserve">demand for </w:t>
      </w:r>
      <w:r w:rsidR="00CA6F06">
        <w:rPr>
          <w:rStyle w:val="searchhighlight"/>
          <w:lang w:val="en-GB"/>
        </w:rPr>
        <w:t xml:space="preserve">material handling </w:t>
      </w:r>
      <w:r>
        <w:rPr>
          <w:rStyle w:val="searchhighlight"/>
          <w:lang w:val="en-GB"/>
        </w:rPr>
        <w:t>solution</w:t>
      </w:r>
      <w:r w:rsidR="00CA6F06">
        <w:rPr>
          <w:rStyle w:val="searchhighlight"/>
          <w:lang w:val="en-GB"/>
        </w:rPr>
        <w:t>s</w:t>
      </w:r>
      <w:r>
        <w:rPr>
          <w:rStyle w:val="searchhighlight"/>
          <w:lang w:val="en-GB"/>
        </w:rPr>
        <w:t xml:space="preserve"> is unbroken, even in the various markets. “In the US we see great potential, especially concerning e-commerce. We have big expectations regarding China. Even if only half of what we expect will be achieved, it will be a great success,” says Georg Kirchmayr. At the moment, the mood in Europe is a bit low</w:t>
      </w:r>
      <w:r w:rsidR="00CA6F06">
        <w:rPr>
          <w:rStyle w:val="searchhighlight"/>
          <w:lang w:val="en-GB"/>
        </w:rPr>
        <w:t>,</w:t>
      </w:r>
      <w:r>
        <w:rPr>
          <w:rStyle w:val="searchhighlight"/>
          <w:lang w:val="en-GB"/>
        </w:rPr>
        <w:t xml:space="preserve"> </w:t>
      </w:r>
      <w:r w:rsidR="00CA6F06">
        <w:rPr>
          <w:rStyle w:val="searchhighlight"/>
          <w:lang w:val="en-GB"/>
        </w:rPr>
        <w:t>which is also reflected</w:t>
      </w:r>
      <w:r>
        <w:rPr>
          <w:rStyle w:val="searchhighlight"/>
          <w:lang w:val="en-GB"/>
        </w:rPr>
        <w:t xml:space="preserve"> in the economy. “However, we are very satisfied with our European entities. Especially with England, where the focus is on e-commerce similar to the US. We can celebrate great successes there.” The market in South America is currently rather difficult, as “many countries face a structural crisis.”</w:t>
      </w:r>
    </w:p>
    <w:p w:rsidR="0081786A" w:rsidRDefault="0081786A" w:rsidP="00455C3D">
      <w:pPr>
        <w:shd w:val="clear" w:color="auto" w:fill="FFFFFF"/>
        <w:ind w:right="1837"/>
        <w:rPr>
          <w:rStyle w:val="searchhighlight"/>
          <w:lang w:val="en-GB"/>
        </w:rPr>
      </w:pPr>
    </w:p>
    <w:p w:rsidR="00502B61" w:rsidRPr="00162F2C" w:rsidRDefault="0081786A" w:rsidP="00455C3D">
      <w:pPr>
        <w:shd w:val="clear" w:color="auto" w:fill="FFFFFF"/>
        <w:ind w:right="1837"/>
        <w:rPr>
          <w:rFonts w:eastAsia="Times New Roman"/>
          <w:b/>
          <w:color w:val="000000"/>
          <w:sz w:val="21"/>
          <w:szCs w:val="21"/>
          <w:lang w:val="en-GB"/>
        </w:rPr>
      </w:pPr>
      <w:r w:rsidRPr="00162F2C">
        <w:rPr>
          <w:rFonts w:eastAsia="Times New Roman"/>
          <w:b/>
          <w:color w:val="000000"/>
          <w:sz w:val="21"/>
          <w:szCs w:val="21"/>
          <w:lang w:val="en-GB"/>
        </w:rPr>
        <w:t>Excellent projects</w:t>
      </w:r>
    </w:p>
    <w:p w:rsidR="00162F2C" w:rsidRPr="00162F2C" w:rsidRDefault="00162F2C" w:rsidP="00EA70EF">
      <w:pPr>
        <w:shd w:val="clear" w:color="auto" w:fill="FFFFFF"/>
        <w:ind w:right="1983"/>
        <w:rPr>
          <w:rFonts w:eastAsia="Times New Roman"/>
          <w:color w:val="000000"/>
          <w:sz w:val="21"/>
          <w:szCs w:val="21"/>
          <w:lang w:val="en-GB"/>
        </w:rPr>
      </w:pPr>
      <w:r w:rsidRPr="00162F2C">
        <w:rPr>
          <w:rFonts w:eastAsia="Times New Roman"/>
          <w:color w:val="000000"/>
          <w:sz w:val="21"/>
          <w:szCs w:val="21"/>
          <w:lang w:val="en-GB"/>
        </w:rPr>
        <w:t xml:space="preserve">The TGW logistics centre for the Swiss grocery giant Coop at their site in </w:t>
      </w:r>
      <w:proofErr w:type="spellStart"/>
      <w:r w:rsidRPr="00162F2C">
        <w:rPr>
          <w:rFonts w:eastAsia="Times New Roman"/>
          <w:color w:val="000000"/>
          <w:sz w:val="21"/>
          <w:szCs w:val="21"/>
          <w:lang w:val="en-GB"/>
        </w:rPr>
        <w:t>Schafisheim</w:t>
      </w:r>
      <w:proofErr w:type="spellEnd"/>
      <w:r w:rsidRPr="00162F2C">
        <w:rPr>
          <w:rFonts w:eastAsia="Times New Roman"/>
          <w:color w:val="000000"/>
          <w:sz w:val="21"/>
          <w:szCs w:val="21"/>
          <w:lang w:val="en-GB"/>
        </w:rPr>
        <w:t xml:space="preserve"> will be opened in 2016. </w:t>
      </w:r>
      <w:r>
        <w:rPr>
          <w:rFonts w:eastAsia="Times New Roman"/>
          <w:color w:val="000000"/>
          <w:sz w:val="21"/>
          <w:szCs w:val="21"/>
          <w:lang w:val="en-GB"/>
        </w:rPr>
        <w:t xml:space="preserve">In the </w:t>
      </w:r>
      <w:r w:rsidR="00CA6F06">
        <w:rPr>
          <w:rFonts w:eastAsia="Times New Roman"/>
          <w:color w:val="000000"/>
          <w:sz w:val="21"/>
          <w:szCs w:val="21"/>
          <w:lang w:val="en-GB"/>
        </w:rPr>
        <w:t xml:space="preserve">largest </w:t>
      </w:r>
      <w:r>
        <w:rPr>
          <w:rFonts w:eastAsia="Times New Roman"/>
          <w:color w:val="000000"/>
          <w:sz w:val="21"/>
          <w:szCs w:val="21"/>
          <w:lang w:val="en-GB"/>
        </w:rPr>
        <w:t xml:space="preserve">building site of Switzerland, TGW implements an extensive and complex logistics installation </w:t>
      </w:r>
      <w:r w:rsidR="00CA6F06">
        <w:rPr>
          <w:rFonts w:eastAsia="Times New Roman"/>
          <w:color w:val="000000"/>
          <w:sz w:val="21"/>
          <w:szCs w:val="21"/>
          <w:lang w:val="en-GB"/>
        </w:rPr>
        <w:t xml:space="preserve">consisting of </w:t>
      </w:r>
      <w:r>
        <w:rPr>
          <w:rFonts w:eastAsia="Times New Roman"/>
          <w:color w:val="000000"/>
          <w:sz w:val="21"/>
          <w:szCs w:val="21"/>
          <w:lang w:val="en-GB"/>
        </w:rPr>
        <w:t xml:space="preserve">four parts. All kinds of groceries are stored and conveyed in </w:t>
      </w:r>
      <w:r w:rsidR="00CA6F06">
        <w:rPr>
          <w:rFonts w:eastAsia="Times New Roman"/>
          <w:color w:val="000000"/>
          <w:sz w:val="21"/>
          <w:szCs w:val="21"/>
          <w:lang w:val="en-GB"/>
        </w:rPr>
        <w:t xml:space="preserve">different </w:t>
      </w:r>
      <w:r>
        <w:rPr>
          <w:rFonts w:eastAsia="Times New Roman"/>
          <w:color w:val="000000"/>
          <w:sz w:val="21"/>
          <w:szCs w:val="21"/>
          <w:lang w:val="en-GB"/>
        </w:rPr>
        <w:t xml:space="preserve">areas. A high bay rack for pallets and totes, for dry, fresh and frozen goods will be realised within a highly dynamic TGW solution. Furthermore, TGW was able to win a </w:t>
      </w:r>
      <w:r w:rsidR="00AF103E">
        <w:rPr>
          <w:rFonts w:eastAsia="Times New Roman"/>
          <w:color w:val="000000"/>
          <w:sz w:val="21"/>
          <w:szCs w:val="21"/>
          <w:lang w:val="en-GB"/>
        </w:rPr>
        <w:t xml:space="preserve">comprehensive </w:t>
      </w:r>
      <w:r>
        <w:rPr>
          <w:rFonts w:eastAsia="Times New Roman"/>
          <w:color w:val="000000"/>
          <w:sz w:val="21"/>
          <w:szCs w:val="21"/>
          <w:lang w:val="en-GB"/>
        </w:rPr>
        <w:t xml:space="preserve">service contract for the gigantic </w:t>
      </w:r>
      <w:r w:rsidR="00AF103E">
        <w:rPr>
          <w:rFonts w:eastAsia="Times New Roman"/>
          <w:color w:val="000000"/>
          <w:sz w:val="21"/>
          <w:szCs w:val="21"/>
          <w:lang w:val="en-GB"/>
        </w:rPr>
        <w:t xml:space="preserve">Coop </w:t>
      </w:r>
      <w:r>
        <w:rPr>
          <w:rFonts w:eastAsia="Times New Roman"/>
          <w:color w:val="000000"/>
          <w:sz w:val="21"/>
          <w:szCs w:val="21"/>
          <w:lang w:val="en-GB"/>
        </w:rPr>
        <w:t xml:space="preserve">distribution centre. </w:t>
      </w:r>
    </w:p>
    <w:p w:rsidR="00502B61" w:rsidRPr="006F7556" w:rsidRDefault="00502B61" w:rsidP="00455C3D">
      <w:pPr>
        <w:shd w:val="clear" w:color="auto" w:fill="FFFFFF"/>
        <w:ind w:right="1837"/>
        <w:rPr>
          <w:rFonts w:eastAsia="Times New Roman"/>
          <w:color w:val="000000"/>
          <w:sz w:val="21"/>
          <w:szCs w:val="21"/>
          <w:lang w:val="en-US"/>
        </w:rPr>
      </w:pPr>
    </w:p>
    <w:p w:rsidR="00162F2C" w:rsidRDefault="00EA70EF" w:rsidP="00EA70EF">
      <w:pPr>
        <w:shd w:val="clear" w:color="auto" w:fill="FFFFFF"/>
        <w:ind w:right="1983"/>
        <w:rPr>
          <w:rFonts w:cs="Arial"/>
          <w:lang w:val="en-GB"/>
        </w:rPr>
      </w:pPr>
      <w:proofErr w:type="spellStart"/>
      <w:r w:rsidRPr="00162F2C">
        <w:rPr>
          <w:rFonts w:cs="Arial"/>
          <w:b/>
          <w:color w:val="000000" w:themeColor="text1"/>
          <w:lang w:val="en-GB"/>
        </w:rPr>
        <w:lastRenderedPageBreak/>
        <w:t>adidas</w:t>
      </w:r>
      <w:proofErr w:type="spellEnd"/>
      <w:r w:rsidRPr="00162F2C">
        <w:rPr>
          <w:rFonts w:cs="Arial"/>
          <w:b/>
          <w:color w:val="000000" w:themeColor="text1"/>
          <w:lang w:val="en-GB"/>
        </w:rPr>
        <w:t xml:space="preserve"> do </w:t>
      </w:r>
      <w:proofErr w:type="spellStart"/>
      <w:r w:rsidRPr="00162F2C">
        <w:rPr>
          <w:rFonts w:cs="Arial"/>
          <w:b/>
          <w:color w:val="000000" w:themeColor="text1"/>
          <w:lang w:val="en-GB"/>
        </w:rPr>
        <w:t>Brasil</w:t>
      </w:r>
      <w:proofErr w:type="spellEnd"/>
      <w:r w:rsidRPr="00162F2C">
        <w:rPr>
          <w:rFonts w:cs="Arial"/>
          <w:color w:val="000000" w:themeColor="text1"/>
          <w:lang w:val="en-GB"/>
        </w:rPr>
        <w:t xml:space="preserve"> </w:t>
      </w:r>
      <w:r w:rsidR="00162F2C" w:rsidRPr="00162F2C">
        <w:rPr>
          <w:rFonts w:cs="Arial"/>
          <w:lang w:val="en-GB"/>
        </w:rPr>
        <w:t xml:space="preserve">will soon receive the latest logistics technologies at their site in Embu das </w:t>
      </w:r>
      <w:proofErr w:type="spellStart"/>
      <w:r w:rsidR="00162F2C" w:rsidRPr="00162F2C">
        <w:rPr>
          <w:rFonts w:cs="Arial"/>
          <w:lang w:val="en-GB"/>
        </w:rPr>
        <w:t>Artes</w:t>
      </w:r>
      <w:proofErr w:type="spellEnd"/>
      <w:r w:rsidR="00162F2C" w:rsidRPr="00162F2C">
        <w:rPr>
          <w:rFonts w:cs="Arial"/>
          <w:lang w:val="en-GB"/>
        </w:rPr>
        <w:t xml:space="preserve">, near </w:t>
      </w:r>
      <w:r w:rsidRPr="00162F2C">
        <w:rPr>
          <w:rFonts w:cs="Arial"/>
          <w:lang w:val="en-GB"/>
        </w:rPr>
        <w:t xml:space="preserve">São Paulo. </w:t>
      </w:r>
      <w:r w:rsidR="00162F2C">
        <w:rPr>
          <w:rFonts w:cs="Arial"/>
          <w:lang w:val="en-GB"/>
        </w:rPr>
        <w:t xml:space="preserve">In Brazil, TGW implements the distribution centre for the Olympic Games 2016 in Rio, which will serve the Brazilian market with an individual picking system for </w:t>
      </w:r>
      <w:proofErr w:type="spellStart"/>
      <w:r w:rsidR="00162F2C">
        <w:rPr>
          <w:rFonts w:cs="Arial"/>
          <w:lang w:val="en-GB"/>
        </w:rPr>
        <w:t>adidas</w:t>
      </w:r>
      <w:proofErr w:type="spellEnd"/>
      <w:r w:rsidR="00162F2C">
        <w:rPr>
          <w:rFonts w:cs="Arial"/>
          <w:lang w:val="en-GB"/>
        </w:rPr>
        <w:t>. The technology including 2.1 kilometre</w:t>
      </w:r>
      <w:r w:rsidR="00AF103E">
        <w:rPr>
          <w:rFonts w:cs="Arial"/>
          <w:lang w:val="en-GB"/>
        </w:rPr>
        <w:t>s of</w:t>
      </w:r>
      <w:r w:rsidR="00162F2C">
        <w:rPr>
          <w:rFonts w:cs="Arial"/>
          <w:lang w:val="en-GB"/>
        </w:rPr>
        <w:t xml:space="preserve"> comple</w:t>
      </w:r>
      <w:r w:rsidR="00E96076">
        <w:rPr>
          <w:rFonts w:cs="Arial"/>
          <w:lang w:val="en-GB"/>
        </w:rPr>
        <w:t>x</w:t>
      </w:r>
      <w:r w:rsidR="00162F2C">
        <w:rPr>
          <w:rFonts w:cs="Arial"/>
          <w:lang w:val="en-GB"/>
        </w:rPr>
        <w:t xml:space="preserve"> conveyor </w:t>
      </w:r>
      <w:r w:rsidR="00AF103E">
        <w:rPr>
          <w:rFonts w:cs="Arial"/>
          <w:lang w:val="en-GB"/>
        </w:rPr>
        <w:t xml:space="preserve">equipment </w:t>
      </w:r>
      <w:r w:rsidR="00162F2C">
        <w:rPr>
          <w:rFonts w:cs="Arial"/>
          <w:lang w:val="en-GB"/>
        </w:rPr>
        <w:t xml:space="preserve">as well as the software will be supplied by TGW. Additionally, </w:t>
      </w:r>
      <w:r w:rsidR="00E96076">
        <w:rPr>
          <w:rFonts w:cs="Arial"/>
          <w:lang w:val="en-GB"/>
        </w:rPr>
        <w:t>TGW</w:t>
      </w:r>
      <w:r w:rsidR="00162F2C">
        <w:rPr>
          <w:rFonts w:cs="Arial"/>
          <w:lang w:val="en-GB"/>
        </w:rPr>
        <w:t xml:space="preserve"> offers </w:t>
      </w:r>
      <w:proofErr w:type="spellStart"/>
      <w:r w:rsidR="00162F2C">
        <w:rPr>
          <w:rFonts w:cs="Arial"/>
          <w:lang w:val="en-GB"/>
        </w:rPr>
        <w:t>adidas</w:t>
      </w:r>
      <w:proofErr w:type="spellEnd"/>
      <w:r w:rsidR="00162F2C">
        <w:rPr>
          <w:rFonts w:cs="Arial"/>
          <w:lang w:val="en-GB"/>
        </w:rPr>
        <w:t xml:space="preserve"> a Lifetime Service package</w:t>
      </w:r>
      <w:r w:rsidR="006F7556">
        <w:rPr>
          <w:rFonts w:cs="Arial"/>
          <w:lang w:val="en-GB"/>
        </w:rPr>
        <w:t xml:space="preserve"> </w:t>
      </w:r>
      <w:r w:rsidR="00AF103E">
        <w:rPr>
          <w:rFonts w:cs="Arial"/>
          <w:lang w:val="en-GB"/>
        </w:rPr>
        <w:t>to</w:t>
      </w:r>
      <w:r w:rsidR="00162F2C">
        <w:rPr>
          <w:rFonts w:cs="Arial"/>
          <w:lang w:val="en-GB"/>
        </w:rPr>
        <w:t xml:space="preserve"> supply all relevant spare parts and take care of maintenance including 24/7 hotline service</w:t>
      </w:r>
      <w:r w:rsidR="00AF103E">
        <w:rPr>
          <w:rFonts w:cs="Arial"/>
          <w:lang w:val="en-GB"/>
        </w:rPr>
        <w:t xml:space="preserve"> for two years</w:t>
      </w:r>
      <w:r w:rsidR="00162F2C">
        <w:rPr>
          <w:rFonts w:cs="Arial"/>
          <w:lang w:val="en-GB"/>
        </w:rPr>
        <w:t xml:space="preserve">. </w:t>
      </w:r>
    </w:p>
    <w:p w:rsidR="00EA70EF" w:rsidRDefault="00EA70EF" w:rsidP="00455C3D">
      <w:pPr>
        <w:shd w:val="clear" w:color="auto" w:fill="FFFFFF"/>
        <w:ind w:right="1837"/>
        <w:rPr>
          <w:rFonts w:eastAsia="Times New Roman"/>
          <w:color w:val="000000"/>
          <w:sz w:val="21"/>
          <w:szCs w:val="21"/>
          <w:lang w:val="en-GB"/>
        </w:rPr>
      </w:pPr>
    </w:p>
    <w:p w:rsidR="00F43D53" w:rsidRPr="00F43D53" w:rsidRDefault="00F43D53" w:rsidP="00F43D53">
      <w:pPr>
        <w:shd w:val="clear" w:color="auto" w:fill="FFFFFF"/>
        <w:ind w:right="1837"/>
        <w:rPr>
          <w:rFonts w:cs="Arial"/>
          <w:szCs w:val="20"/>
          <w:lang w:val="en-GB"/>
        </w:rPr>
      </w:pPr>
      <w:r>
        <w:rPr>
          <w:rFonts w:eastAsia="Times New Roman"/>
          <w:color w:val="000000"/>
          <w:sz w:val="21"/>
          <w:szCs w:val="21"/>
          <w:lang w:val="en-GB"/>
        </w:rPr>
        <w:t xml:space="preserve">The new </w:t>
      </w:r>
      <w:r w:rsidRPr="00E96076">
        <w:rPr>
          <w:rFonts w:eastAsia="Times New Roman"/>
          <w:b/>
          <w:color w:val="000000"/>
          <w:sz w:val="21"/>
          <w:szCs w:val="21"/>
          <w:lang w:val="en-GB"/>
        </w:rPr>
        <w:t>Mango</w:t>
      </w:r>
      <w:r>
        <w:rPr>
          <w:rFonts w:eastAsia="Times New Roman"/>
          <w:color w:val="000000"/>
          <w:sz w:val="21"/>
          <w:szCs w:val="21"/>
          <w:lang w:val="en-GB"/>
        </w:rPr>
        <w:t xml:space="preserve"> distribution centre was built in </w:t>
      </w:r>
      <w:r w:rsidR="00EA70EF" w:rsidRPr="00F43D53">
        <w:rPr>
          <w:rFonts w:cs="Arial"/>
          <w:szCs w:val="20"/>
          <w:lang w:val="en-GB"/>
        </w:rPr>
        <w:t xml:space="preserve">Palau </w:t>
      </w:r>
      <w:proofErr w:type="spellStart"/>
      <w:r w:rsidR="00EA70EF" w:rsidRPr="00F43D53">
        <w:rPr>
          <w:rFonts w:cs="Arial"/>
          <w:szCs w:val="20"/>
          <w:lang w:val="en-GB"/>
        </w:rPr>
        <w:t>Solità</w:t>
      </w:r>
      <w:proofErr w:type="spellEnd"/>
      <w:r w:rsidR="00EA70EF" w:rsidRPr="00F43D53">
        <w:rPr>
          <w:rFonts w:cs="Arial"/>
          <w:szCs w:val="20"/>
          <w:lang w:val="en-GB"/>
        </w:rPr>
        <w:t xml:space="preserve"> de </w:t>
      </w:r>
      <w:proofErr w:type="spellStart"/>
      <w:r w:rsidR="00EA70EF" w:rsidRPr="00F43D53">
        <w:rPr>
          <w:rFonts w:cs="Arial"/>
          <w:szCs w:val="20"/>
          <w:lang w:val="en-GB"/>
        </w:rPr>
        <w:t>Plegamans</w:t>
      </w:r>
      <w:proofErr w:type="spellEnd"/>
      <w:r w:rsidR="00EA70EF" w:rsidRPr="00F43D53">
        <w:rPr>
          <w:rFonts w:cs="Arial"/>
          <w:szCs w:val="20"/>
          <w:lang w:val="en-GB"/>
        </w:rPr>
        <w:t xml:space="preserve">, Barcelona. </w:t>
      </w:r>
      <w:r w:rsidRPr="00F43D53">
        <w:rPr>
          <w:rFonts w:cs="Arial"/>
          <w:szCs w:val="20"/>
          <w:lang w:val="en-GB"/>
        </w:rPr>
        <w:t xml:space="preserve">The Spanish fashion chain </w:t>
      </w:r>
      <w:r>
        <w:rPr>
          <w:rFonts w:cs="Arial"/>
          <w:szCs w:val="20"/>
          <w:lang w:val="en-GB"/>
        </w:rPr>
        <w:t xml:space="preserve">relies on TGW technology for the replenishment of more than 4,000 stores: the new logistics centre will </w:t>
      </w:r>
      <w:r w:rsidR="00AF103E">
        <w:rPr>
          <w:rFonts w:cs="Arial"/>
          <w:szCs w:val="20"/>
          <w:lang w:val="en-GB"/>
        </w:rPr>
        <w:t>combine the handling operations</w:t>
      </w:r>
      <w:r>
        <w:rPr>
          <w:rFonts w:cs="Arial"/>
          <w:szCs w:val="20"/>
          <w:lang w:val="en-GB"/>
        </w:rPr>
        <w:t xml:space="preserve"> for </w:t>
      </w:r>
      <w:r w:rsidR="00B711B7">
        <w:rPr>
          <w:rFonts w:cs="Arial"/>
          <w:szCs w:val="20"/>
          <w:lang w:val="en-GB"/>
        </w:rPr>
        <w:t xml:space="preserve">flat garments, pre-configured assortments and hanging garments for store replenishment. </w:t>
      </w:r>
      <w:r w:rsidR="006F74DF">
        <w:rPr>
          <w:rFonts w:cs="Arial"/>
          <w:szCs w:val="20"/>
          <w:lang w:val="en-GB"/>
        </w:rPr>
        <w:t xml:space="preserve">Due to the continuous growth and the introduction of new labels, the number of international shops and products is permanently </w:t>
      </w:r>
      <w:r w:rsidR="00AF103E">
        <w:rPr>
          <w:rFonts w:cs="Arial"/>
          <w:szCs w:val="20"/>
          <w:lang w:val="en-GB"/>
        </w:rPr>
        <w:t>increasing</w:t>
      </w:r>
      <w:r w:rsidR="006F74DF">
        <w:rPr>
          <w:rFonts w:cs="Arial"/>
          <w:szCs w:val="20"/>
          <w:lang w:val="en-GB"/>
        </w:rPr>
        <w:t>. TGW Logistics Group offered Mango the ideal and cost</w:t>
      </w:r>
      <w:r w:rsidR="00AF103E">
        <w:rPr>
          <w:rFonts w:cs="Arial"/>
          <w:szCs w:val="20"/>
          <w:lang w:val="en-GB"/>
        </w:rPr>
        <w:t>-</w:t>
      </w:r>
      <w:r w:rsidR="006F74DF">
        <w:rPr>
          <w:rFonts w:cs="Arial"/>
          <w:szCs w:val="20"/>
          <w:lang w:val="en-GB"/>
        </w:rPr>
        <w:t xml:space="preserve">effective solution in order to </w:t>
      </w:r>
      <w:r w:rsidR="00AF103E">
        <w:rPr>
          <w:rFonts w:cs="Arial"/>
          <w:szCs w:val="20"/>
          <w:lang w:val="en-GB"/>
        </w:rPr>
        <w:t xml:space="preserve">pursue </w:t>
      </w:r>
      <w:r w:rsidR="006F74DF">
        <w:rPr>
          <w:rFonts w:cs="Arial"/>
          <w:szCs w:val="20"/>
          <w:lang w:val="en-GB"/>
        </w:rPr>
        <w:t xml:space="preserve">their growth </w:t>
      </w:r>
      <w:r w:rsidR="006F7556">
        <w:rPr>
          <w:rFonts w:cs="Arial"/>
          <w:szCs w:val="20"/>
          <w:lang w:val="en-GB"/>
        </w:rPr>
        <w:t>strategy</w:t>
      </w:r>
      <w:r w:rsidR="00AF103E">
        <w:rPr>
          <w:rFonts w:cs="Arial"/>
          <w:szCs w:val="20"/>
          <w:lang w:val="en-GB"/>
        </w:rPr>
        <w:t xml:space="preserve"> </w:t>
      </w:r>
      <w:r w:rsidR="006F74DF">
        <w:rPr>
          <w:rFonts w:cs="Arial"/>
          <w:szCs w:val="20"/>
          <w:lang w:val="en-GB"/>
        </w:rPr>
        <w:t>with minim</w:t>
      </w:r>
      <w:r w:rsidR="00AF103E">
        <w:rPr>
          <w:rFonts w:cs="Arial"/>
          <w:szCs w:val="20"/>
          <w:lang w:val="en-GB"/>
        </w:rPr>
        <w:t>um</w:t>
      </w:r>
      <w:r w:rsidR="006F74DF">
        <w:rPr>
          <w:rFonts w:cs="Arial"/>
          <w:szCs w:val="20"/>
          <w:lang w:val="en-GB"/>
        </w:rPr>
        <w:t xml:space="preserve"> personnel effort. </w:t>
      </w:r>
    </w:p>
    <w:p w:rsidR="00F438F9" w:rsidRPr="006F7556" w:rsidRDefault="00F438F9" w:rsidP="00F438F9">
      <w:pPr>
        <w:tabs>
          <w:tab w:val="left" w:pos="7655"/>
        </w:tabs>
        <w:ind w:right="1835"/>
        <w:rPr>
          <w:rFonts w:eastAsia="Times New Roman"/>
          <w:color w:val="000000"/>
          <w:lang w:val="en-US"/>
        </w:rPr>
      </w:pPr>
    </w:p>
    <w:p w:rsidR="00530B2A" w:rsidRPr="006F7556" w:rsidRDefault="00530B2A" w:rsidP="00FE0E60">
      <w:pPr>
        <w:tabs>
          <w:tab w:val="left" w:pos="7655"/>
        </w:tabs>
        <w:ind w:right="1835"/>
        <w:rPr>
          <w:b/>
          <w:lang w:val="en-US"/>
        </w:rPr>
      </w:pPr>
      <w:r w:rsidRPr="006F7556">
        <w:rPr>
          <w:b/>
          <w:lang w:val="en-US"/>
        </w:rPr>
        <w:t>International directions – Growing company</w:t>
      </w:r>
    </w:p>
    <w:p w:rsidR="00530B2A" w:rsidRPr="00BE63AC" w:rsidRDefault="00BE63AC" w:rsidP="00FE0E60">
      <w:pPr>
        <w:tabs>
          <w:tab w:val="left" w:pos="7655"/>
        </w:tabs>
        <w:ind w:right="1835"/>
        <w:rPr>
          <w:rFonts w:eastAsia="Times New Roman" w:cs="Arial"/>
          <w:szCs w:val="20"/>
          <w:lang w:val="en-GB"/>
        </w:rPr>
      </w:pPr>
      <w:r w:rsidRPr="00BE63AC">
        <w:rPr>
          <w:rFonts w:eastAsia="Times New Roman" w:cs="Arial"/>
          <w:szCs w:val="20"/>
          <w:lang w:val="en-GB"/>
        </w:rPr>
        <w:t>The worldwide success of TGW Logistics Group demands the expansion of the headquarters in Wels: Dur</w:t>
      </w:r>
      <w:r>
        <w:rPr>
          <w:rFonts w:eastAsia="Times New Roman" w:cs="Arial"/>
          <w:szCs w:val="20"/>
          <w:lang w:val="en-GB"/>
        </w:rPr>
        <w:t xml:space="preserve">ing the next three years, a new building </w:t>
      </w:r>
      <w:r w:rsidR="00F419CE">
        <w:rPr>
          <w:rFonts w:eastAsia="Times New Roman" w:cs="Arial"/>
          <w:szCs w:val="20"/>
          <w:lang w:val="en-GB"/>
        </w:rPr>
        <w:t xml:space="preserve">with a surface of 10,000 square metres </w:t>
      </w:r>
      <w:r>
        <w:rPr>
          <w:rFonts w:eastAsia="Times New Roman" w:cs="Arial"/>
          <w:szCs w:val="20"/>
          <w:lang w:val="en-GB"/>
        </w:rPr>
        <w:t>will be estab</w:t>
      </w:r>
      <w:r w:rsidR="00F419CE">
        <w:rPr>
          <w:rFonts w:eastAsia="Times New Roman" w:cs="Arial"/>
          <w:szCs w:val="20"/>
          <w:lang w:val="en-GB"/>
        </w:rPr>
        <w:t>lished on a 75,000 square metre area. “As logistics specialist, we always keep our future in sight”, says Kirchmayr. “We planned the project to be able to expand our office</w:t>
      </w:r>
      <w:r w:rsidR="00A3445E">
        <w:rPr>
          <w:rFonts w:eastAsia="Times New Roman" w:cs="Arial"/>
          <w:szCs w:val="20"/>
          <w:lang w:val="en-GB"/>
        </w:rPr>
        <w:t>s</w:t>
      </w:r>
      <w:r w:rsidR="00F419CE">
        <w:rPr>
          <w:rFonts w:eastAsia="Times New Roman" w:cs="Arial"/>
          <w:szCs w:val="20"/>
          <w:lang w:val="en-GB"/>
        </w:rPr>
        <w:t xml:space="preserve"> afterwards. With the new building in </w:t>
      </w:r>
      <w:proofErr w:type="spellStart"/>
      <w:r w:rsidR="00F419CE">
        <w:rPr>
          <w:rFonts w:eastAsia="Times New Roman" w:cs="Arial"/>
          <w:szCs w:val="20"/>
          <w:lang w:val="en-GB"/>
        </w:rPr>
        <w:t>Marchtrenk</w:t>
      </w:r>
      <w:proofErr w:type="spellEnd"/>
      <w:r w:rsidR="00F419CE">
        <w:rPr>
          <w:rFonts w:eastAsia="Times New Roman" w:cs="Arial"/>
          <w:szCs w:val="20"/>
          <w:lang w:val="en-GB"/>
        </w:rPr>
        <w:t>, we are</w:t>
      </w:r>
      <w:r w:rsidR="0049245A">
        <w:rPr>
          <w:rFonts w:eastAsia="Times New Roman" w:cs="Arial"/>
          <w:szCs w:val="20"/>
          <w:lang w:val="en-GB"/>
        </w:rPr>
        <w:t xml:space="preserve"> only a stone’s throw away from our existing office building. In  2018, 400 TGW employees will move into the office building</w:t>
      </w:r>
      <w:r w:rsidR="00A3445E">
        <w:rPr>
          <w:rFonts w:eastAsia="Times New Roman" w:cs="Arial"/>
          <w:szCs w:val="20"/>
          <w:lang w:val="en-GB"/>
        </w:rPr>
        <w:t>, and an</w:t>
      </w:r>
      <w:r w:rsidR="0049245A">
        <w:rPr>
          <w:rFonts w:eastAsia="Times New Roman" w:cs="Arial"/>
          <w:szCs w:val="20"/>
          <w:lang w:val="en-GB"/>
        </w:rPr>
        <w:t xml:space="preserve"> additional 200 employees from the production area will work there.”</w:t>
      </w:r>
    </w:p>
    <w:p w:rsidR="00BE63AC" w:rsidRPr="00BE63AC" w:rsidRDefault="00BE63AC" w:rsidP="00FE0E60">
      <w:pPr>
        <w:tabs>
          <w:tab w:val="left" w:pos="7655"/>
        </w:tabs>
        <w:ind w:right="1835"/>
        <w:rPr>
          <w:rFonts w:eastAsia="Times New Roman" w:cs="Arial"/>
          <w:szCs w:val="20"/>
          <w:lang w:val="en-GB"/>
        </w:rPr>
      </w:pPr>
    </w:p>
    <w:p w:rsidR="00FE0E60" w:rsidRPr="0049245A" w:rsidRDefault="0049245A" w:rsidP="00B87B68">
      <w:pPr>
        <w:ind w:right="1835"/>
        <w:rPr>
          <w:lang w:val="en-GB"/>
        </w:rPr>
      </w:pPr>
      <w:r w:rsidRPr="0049245A">
        <w:rPr>
          <w:lang w:val="en-GB"/>
        </w:rPr>
        <w:t>Internationality is one of the major aspects for TGW – not only for</w:t>
      </w:r>
      <w:r>
        <w:rPr>
          <w:lang w:val="en-GB"/>
        </w:rPr>
        <w:t xml:space="preserve"> </w:t>
      </w:r>
      <w:r w:rsidRPr="0049245A">
        <w:rPr>
          <w:lang w:val="en-GB"/>
        </w:rPr>
        <w:t xml:space="preserve">the company’s </w:t>
      </w:r>
      <w:r>
        <w:rPr>
          <w:lang w:val="en-GB"/>
        </w:rPr>
        <w:t xml:space="preserve">growth. “Our experts work in entities in Europe, America and Asia. They are close to the customers and </w:t>
      </w:r>
      <w:r w:rsidR="00A3445E">
        <w:rPr>
          <w:lang w:val="en-GB"/>
        </w:rPr>
        <w:t>respond</w:t>
      </w:r>
      <w:r>
        <w:rPr>
          <w:lang w:val="en-GB"/>
        </w:rPr>
        <w:t xml:space="preserve"> to their needs. TGW employees come from more than 40 nations and work in 15 countries worldwide. The diverse cultures that are united in the company group promote the increase of tolerance. Due to the present variety of languages, our employees are always motivated to improve their skills, also regarding foreign languages.”</w:t>
      </w:r>
    </w:p>
    <w:p w:rsidR="00E62C00" w:rsidRDefault="00E62C00" w:rsidP="00B87B68">
      <w:pPr>
        <w:ind w:right="1835"/>
        <w:rPr>
          <w:lang w:val="en-US"/>
        </w:rPr>
      </w:pPr>
    </w:p>
    <w:p w:rsidR="00637078" w:rsidRDefault="00637078" w:rsidP="00B87B68">
      <w:pPr>
        <w:ind w:right="1835"/>
        <w:rPr>
          <w:lang w:val="en-US"/>
        </w:rPr>
      </w:pPr>
    </w:p>
    <w:p w:rsidR="00637078" w:rsidRPr="006F7556" w:rsidRDefault="00637078" w:rsidP="00B87B68">
      <w:pPr>
        <w:ind w:right="1835"/>
        <w:rPr>
          <w:lang w:val="en-US"/>
        </w:rPr>
      </w:pPr>
    </w:p>
    <w:p w:rsidR="00EB0FAF" w:rsidRPr="00EB0FAF" w:rsidRDefault="0049245A" w:rsidP="00993D0E">
      <w:pPr>
        <w:ind w:right="1837"/>
        <w:rPr>
          <w:rFonts w:cs="Arial"/>
          <w:b/>
          <w:lang w:val="en-GB"/>
        </w:rPr>
      </w:pPr>
      <w:r w:rsidRPr="00EB0FAF">
        <w:rPr>
          <w:rFonts w:cs="Arial"/>
          <w:b/>
          <w:lang w:val="en-GB"/>
        </w:rPr>
        <w:lastRenderedPageBreak/>
        <w:t>Employees wanted</w:t>
      </w:r>
    </w:p>
    <w:p w:rsidR="00BD4BF3" w:rsidRPr="00D730BC" w:rsidRDefault="00EB0FAF" w:rsidP="005735A7">
      <w:pPr>
        <w:ind w:right="1837"/>
        <w:rPr>
          <w:rFonts w:cs="Arial"/>
          <w:lang w:val="en-GB"/>
        </w:rPr>
      </w:pPr>
      <w:r w:rsidRPr="00EB0FAF">
        <w:rPr>
          <w:rFonts w:cs="Arial"/>
          <w:lang w:val="en-GB"/>
        </w:rPr>
        <w:t xml:space="preserve">In order to be prepared for the rapid </w:t>
      </w:r>
      <w:r>
        <w:rPr>
          <w:rFonts w:cs="Arial"/>
          <w:lang w:val="en-GB"/>
        </w:rPr>
        <w:t>company growth, the TGW Group is searching for 330 new employees. “</w:t>
      </w:r>
      <w:r w:rsidR="00E96076">
        <w:rPr>
          <w:rFonts w:cs="Arial"/>
          <w:lang w:val="en-GB"/>
        </w:rPr>
        <w:t>For</w:t>
      </w:r>
      <w:r>
        <w:rPr>
          <w:rFonts w:cs="Arial"/>
          <w:lang w:val="en-GB"/>
        </w:rPr>
        <w:t xml:space="preserve"> new exciting projects and our further success path, we are searching for colleagues especially in the </w:t>
      </w:r>
      <w:r w:rsidR="00A3445E">
        <w:rPr>
          <w:rFonts w:cs="Arial"/>
          <w:lang w:val="en-GB"/>
        </w:rPr>
        <w:t xml:space="preserve">fields </w:t>
      </w:r>
      <w:r>
        <w:rPr>
          <w:rFonts w:cs="Arial"/>
          <w:lang w:val="en-GB"/>
        </w:rPr>
        <w:t xml:space="preserve">of </w:t>
      </w:r>
      <w:r w:rsidR="00D730BC">
        <w:rPr>
          <w:rFonts w:cs="Arial"/>
          <w:lang w:val="en-GB"/>
        </w:rPr>
        <w:t xml:space="preserve">mechanical engineering, mechatronics, automation and controls technology, software development, assembly and commissioning with technical education, technical college or university degrees,” says Georg Kirchmayr. “TGW’s employees are working </w:t>
      </w:r>
      <w:r w:rsidR="00A3445E">
        <w:rPr>
          <w:rFonts w:cs="Arial"/>
          <w:lang w:val="en-GB"/>
        </w:rPr>
        <w:t xml:space="preserve">all </w:t>
      </w:r>
      <w:r w:rsidR="00D730BC">
        <w:rPr>
          <w:rFonts w:cs="Arial"/>
          <w:lang w:val="en-GB"/>
        </w:rPr>
        <w:t>around the world, at the moment we are recruiting predominantly for the German</w:t>
      </w:r>
      <w:r w:rsidR="00A3445E">
        <w:rPr>
          <w:rFonts w:cs="Arial"/>
          <w:lang w:val="en-GB"/>
        </w:rPr>
        <w:t>-</w:t>
      </w:r>
      <w:r w:rsidR="00D730BC">
        <w:rPr>
          <w:rFonts w:cs="Arial"/>
          <w:lang w:val="en-GB"/>
        </w:rPr>
        <w:t xml:space="preserve">speaking regions, the UK, the US and China. For our headquarters in Wels, we are looking for 180 new colleagues.” Current vacancies and job profiles </w:t>
      </w:r>
      <w:r w:rsidR="00A3445E">
        <w:rPr>
          <w:rFonts w:cs="Arial"/>
          <w:lang w:val="en-GB"/>
        </w:rPr>
        <w:t xml:space="preserve">are available </w:t>
      </w:r>
      <w:r w:rsidR="00D730BC">
        <w:rPr>
          <w:rFonts w:cs="Arial"/>
          <w:lang w:val="en-GB"/>
        </w:rPr>
        <w:t>on</w:t>
      </w:r>
      <w:r w:rsidR="00430BE8" w:rsidRPr="006F7556">
        <w:rPr>
          <w:rFonts w:cs="Arial"/>
          <w:szCs w:val="20"/>
          <w:lang w:val="en-US"/>
        </w:rPr>
        <w:t xml:space="preserve"> </w:t>
      </w:r>
      <w:hyperlink r:id="rId10" w:history="1">
        <w:r w:rsidR="00430BE8" w:rsidRPr="006F7556">
          <w:rPr>
            <w:rStyle w:val="Hyperlink"/>
            <w:rFonts w:cs="Arial"/>
            <w:szCs w:val="20"/>
            <w:lang w:val="en-US"/>
          </w:rPr>
          <w:t>www.tgw.jobs</w:t>
        </w:r>
      </w:hyperlink>
      <w:r w:rsidR="007B162E" w:rsidRPr="006F7556">
        <w:rPr>
          <w:rStyle w:val="Hyperlink"/>
          <w:rFonts w:cs="Arial"/>
          <w:szCs w:val="20"/>
          <w:lang w:val="en-US"/>
        </w:rPr>
        <w:t>.</w:t>
      </w:r>
    </w:p>
    <w:p w:rsidR="00D25CD8" w:rsidRPr="006F7556" w:rsidRDefault="00D25CD8" w:rsidP="007B5207">
      <w:pPr>
        <w:spacing w:before="240" w:after="120"/>
        <w:ind w:right="1837"/>
        <w:rPr>
          <w:b/>
          <w:lang w:val="en-US"/>
        </w:rPr>
      </w:pPr>
    </w:p>
    <w:p w:rsidR="00F265F3" w:rsidRPr="00ED3142" w:rsidRDefault="00F265F3" w:rsidP="00F265F3">
      <w:pPr>
        <w:ind w:right="1835"/>
        <w:rPr>
          <w:lang w:val="en-US"/>
        </w:rPr>
      </w:pPr>
      <w:r w:rsidRPr="00ED3142">
        <w:rPr>
          <w:lang w:val="en-US"/>
        </w:rPr>
        <w:t>www.tgw-group.com</w:t>
      </w:r>
    </w:p>
    <w:p w:rsidR="00F265F3" w:rsidRPr="00ED3142" w:rsidRDefault="00F265F3" w:rsidP="00F265F3">
      <w:pPr>
        <w:ind w:right="1835"/>
        <w:rPr>
          <w:lang w:val="en-US"/>
        </w:rPr>
      </w:pPr>
    </w:p>
    <w:p w:rsidR="00F265F3" w:rsidRDefault="00F265F3" w:rsidP="00F265F3">
      <w:pPr>
        <w:ind w:right="1835"/>
        <w:rPr>
          <w:lang w:val="en-US"/>
        </w:rPr>
      </w:pPr>
      <w:bookmarkStart w:id="0" w:name="_GoBack"/>
      <w:bookmarkEnd w:id="0"/>
    </w:p>
    <w:p w:rsidR="00AC34AF" w:rsidRDefault="00AC34AF" w:rsidP="00AC34AF">
      <w:pPr>
        <w:spacing w:before="240" w:after="120"/>
        <w:ind w:right="1837"/>
        <w:rPr>
          <w:b/>
        </w:rPr>
      </w:pPr>
      <w:r>
        <w:rPr>
          <w:b/>
          <w:noProof/>
          <w:lang w:val="de-AT" w:eastAsia="de-AT"/>
        </w:rPr>
        <w:drawing>
          <wp:inline distT="0" distB="0" distL="0" distR="0" wp14:anchorId="722A0576" wp14:editId="51207B0C">
            <wp:extent cx="3135086" cy="2351232"/>
            <wp:effectExtent l="0" t="0" r="8255" b="0"/>
            <wp:docPr id="2" name="Grafik 2" descr="C:\Users\wwe\Desktop\TGW-Pressetext\Georg-Kirchmayr-President-TGW-Logistics-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e\Desktop\TGW-Pressetext\Georg-Kirchmayr-President-TGW-Logistics-Grou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5067" cy="2351218"/>
                    </a:xfrm>
                    <a:prstGeom prst="rect">
                      <a:avLst/>
                    </a:prstGeom>
                    <a:noFill/>
                    <a:ln>
                      <a:noFill/>
                    </a:ln>
                  </pic:spPr>
                </pic:pic>
              </a:graphicData>
            </a:graphic>
          </wp:inline>
        </w:drawing>
      </w:r>
    </w:p>
    <w:p w:rsidR="00AC34AF" w:rsidRPr="00AC34AF" w:rsidRDefault="00AC34AF" w:rsidP="00AC34AF">
      <w:pPr>
        <w:spacing w:before="240" w:after="120"/>
        <w:ind w:right="1837"/>
        <w:rPr>
          <w:szCs w:val="20"/>
          <w:lang w:val="en-GB"/>
        </w:rPr>
      </w:pPr>
      <w:r w:rsidRPr="00AC34AF">
        <w:rPr>
          <w:b/>
          <w:szCs w:val="20"/>
          <w:lang w:val="en-GB"/>
        </w:rPr>
        <w:t xml:space="preserve">Caption: </w:t>
      </w:r>
      <w:r w:rsidRPr="00AC34AF">
        <w:rPr>
          <w:szCs w:val="20"/>
          <w:lang w:val="en-GB"/>
        </w:rPr>
        <w:t>“The TGW Logistics Group is growing internationally,” Georg Kirchmayr, President of TGW Logistics Group, is happy. “In the business year 2014/2015, the company generated a revenue of 475 million Euros, which means a growth of 28.17 per cent within one year. In order to prepare ourselves for the rapid growth, we are searching for more than 330 new employees.”</w:t>
      </w:r>
    </w:p>
    <w:p w:rsidR="00AC34AF" w:rsidRPr="00AC34AF" w:rsidRDefault="00AC34AF" w:rsidP="00F265F3">
      <w:pPr>
        <w:ind w:right="1835"/>
      </w:pPr>
    </w:p>
    <w:p w:rsidR="00AC34AF" w:rsidRPr="00AC34AF" w:rsidRDefault="00AC34AF" w:rsidP="00F265F3">
      <w:pPr>
        <w:ind w:right="1835"/>
        <w:rPr>
          <w:lang w:val="de-AT"/>
        </w:rPr>
      </w:pPr>
    </w:p>
    <w:p w:rsidR="00F265F3" w:rsidRPr="004A6B89" w:rsidRDefault="00F265F3" w:rsidP="00F265F3">
      <w:pPr>
        <w:ind w:right="1835"/>
        <w:rPr>
          <w:b/>
          <w:lang w:val="en-US"/>
        </w:rPr>
      </w:pPr>
      <w:r w:rsidRPr="004A6B89">
        <w:rPr>
          <w:b/>
          <w:lang w:val="en-US"/>
        </w:rPr>
        <w:t>Pictures:</w:t>
      </w:r>
    </w:p>
    <w:p w:rsidR="00F265F3" w:rsidRDefault="00F265F3" w:rsidP="00F265F3">
      <w:pPr>
        <w:ind w:right="1835"/>
        <w:rPr>
          <w:lang w:val="en-US"/>
        </w:rPr>
      </w:pPr>
      <w:r w:rsidRPr="004A6B89">
        <w:rPr>
          <w:lang w:val="en-US"/>
        </w:rPr>
        <w:t>Reprint with reference to TGW Logistics Group GmbH free of charge. Reprint is not permitted for promotional purposes.</w:t>
      </w:r>
    </w:p>
    <w:p w:rsidR="00F265F3" w:rsidRPr="001D38C0" w:rsidRDefault="00F265F3" w:rsidP="00F265F3">
      <w:pPr>
        <w:ind w:right="1835"/>
        <w:rPr>
          <w:b/>
          <w:lang w:val="en-GB"/>
        </w:rPr>
      </w:pPr>
    </w:p>
    <w:p w:rsidR="00F265F3" w:rsidRPr="00641A34" w:rsidRDefault="00F265F3" w:rsidP="00F265F3">
      <w:pPr>
        <w:ind w:right="1835"/>
        <w:rPr>
          <w:b/>
          <w:lang w:val="en-GB"/>
        </w:rPr>
      </w:pPr>
      <w:r w:rsidRPr="00641A34">
        <w:rPr>
          <w:b/>
          <w:lang w:val="en-GB"/>
        </w:rPr>
        <w:t>Contact:</w:t>
      </w:r>
    </w:p>
    <w:p w:rsidR="00F265F3" w:rsidRPr="00641A34" w:rsidRDefault="00F265F3" w:rsidP="00F265F3">
      <w:pPr>
        <w:ind w:right="1835"/>
        <w:rPr>
          <w:lang w:val="en-GB"/>
        </w:rPr>
      </w:pPr>
      <w:r w:rsidRPr="00641A34">
        <w:rPr>
          <w:lang w:val="en-GB"/>
        </w:rPr>
        <w:t>TGW Logistics Group GmbH</w:t>
      </w:r>
    </w:p>
    <w:p w:rsidR="00F265F3" w:rsidRPr="00641A34" w:rsidRDefault="00F265F3" w:rsidP="00F265F3">
      <w:pPr>
        <w:ind w:right="1835"/>
        <w:rPr>
          <w:lang w:val="en-GB"/>
        </w:rPr>
      </w:pPr>
      <w:r w:rsidRPr="00641A34">
        <w:rPr>
          <w:lang w:val="en-GB"/>
        </w:rPr>
        <w:t xml:space="preserve">A-4600 Wels, </w:t>
      </w:r>
      <w:proofErr w:type="spellStart"/>
      <w:r w:rsidRPr="00641A34">
        <w:rPr>
          <w:lang w:val="en-GB"/>
        </w:rPr>
        <w:t>Collmannstraße</w:t>
      </w:r>
      <w:proofErr w:type="spellEnd"/>
      <w:r w:rsidRPr="00641A34">
        <w:rPr>
          <w:lang w:val="en-GB"/>
        </w:rPr>
        <w:t xml:space="preserve"> 2</w:t>
      </w:r>
    </w:p>
    <w:p w:rsidR="00F265F3" w:rsidRPr="00AC34AF" w:rsidRDefault="00F265F3" w:rsidP="00F265F3">
      <w:pPr>
        <w:ind w:right="1835"/>
        <w:rPr>
          <w:lang w:val="en-GB"/>
        </w:rPr>
      </w:pPr>
      <w:r w:rsidRPr="00AC34AF">
        <w:rPr>
          <w:lang w:val="en-GB"/>
        </w:rPr>
        <w:t>T: +43.(0)7242.486-0</w:t>
      </w:r>
    </w:p>
    <w:p w:rsidR="00F265F3" w:rsidRPr="00AC34AF" w:rsidRDefault="00F265F3" w:rsidP="00F265F3">
      <w:pPr>
        <w:ind w:right="1835"/>
        <w:rPr>
          <w:lang w:val="en-GB"/>
        </w:rPr>
      </w:pPr>
      <w:r w:rsidRPr="00AC34AF">
        <w:rPr>
          <w:lang w:val="en-GB"/>
        </w:rPr>
        <w:t>F: +43.(0)7242.486-31</w:t>
      </w:r>
    </w:p>
    <w:p w:rsidR="00F265F3" w:rsidRPr="00AC34AF" w:rsidRDefault="00F265F3" w:rsidP="00F265F3">
      <w:pPr>
        <w:ind w:right="1835"/>
        <w:rPr>
          <w:lang w:val="en-GB"/>
        </w:rPr>
      </w:pPr>
      <w:r w:rsidRPr="00AC34AF">
        <w:rPr>
          <w:lang w:val="en-GB"/>
        </w:rPr>
        <w:t>E-Mail: tgw@tgw-group.com</w:t>
      </w:r>
      <w:r w:rsidRPr="00AC34AF">
        <w:rPr>
          <w:lang w:val="en-GB"/>
        </w:rPr>
        <w:tab/>
      </w:r>
    </w:p>
    <w:p w:rsidR="00F265F3" w:rsidRPr="00AC34AF" w:rsidRDefault="00F265F3" w:rsidP="00F265F3">
      <w:pPr>
        <w:ind w:right="1835"/>
        <w:rPr>
          <w:lang w:val="en-GB"/>
        </w:rPr>
      </w:pPr>
    </w:p>
    <w:p w:rsidR="00F265F3" w:rsidRPr="00641A34" w:rsidRDefault="00F265F3" w:rsidP="00F265F3">
      <w:pPr>
        <w:spacing w:line="240" w:lineRule="auto"/>
        <w:ind w:right="985"/>
        <w:rPr>
          <w:b/>
          <w:lang w:val="en-GB"/>
        </w:rPr>
      </w:pPr>
      <w:r w:rsidRPr="00641A34">
        <w:rPr>
          <w:b/>
          <w:lang w:val="en-GB"/>
        </w:rPr>
        <w:t>Press contact:</w:t>
      </w:r>
    </w:p>
    <w:p w:rsidR="00F265F3" w:rsidRPr="00641A34" w:rsidRDefault="00F265F3" w:rsidP="00F265F3">
      <w:pPr>
        <w:spacing w:line="240" w:lineRule="auto"/>
        <w:ind w:right="985"/>
        <w:rPr>
          <w:lang w:val="en-GB"/>
        </w:rPr>
      </w:pPr>
      <w:r w:rsidRPr="00641A34">
        <w:rPr>
          <w:lang w:val="en-GB"/>
        </w:rPr>
        <w:t>Martin Kirchmayr</w:t>
      </w:r>
      <w:r w:rsidRPr="00641A34">
        <w:rPr>
          <w:lang w:val="en-GB"/>
        </w:rPr>
        <w:tab/>
      </w:r>
      <w:r w:rsidRPr="00641A34">
        <w:rPr>
          <w:lang w:val="en-GB"/>
        </w:rPr>
        <w:tab/>
      </w:r>
      <w:r w:rsidRPr="00641A34">
        <w:rPr>
          <w:lang w:val="en-GB"/>
        </w:rPr>
        <w:tab/>
      </w:r>
      <w:r w:rsidRPr="00641A34">
        <w:rPr>
          <w:lang w:val="en-GB"/>
        </w:rPr>
        <w:tab/>
        <w:t>Daniela Nowak</w:t>
      </w:r>
    </w:p>
    <w:p w:rsidR="00F265F3" w:rsidRPr="00641A34" w:rsidRDefault="00F265F3" w:rsidP="00F265F3">
      <w:pPr>
        <w:spacing w:line="240" w:lineRule="auto"/>
        <w:ind w:right="985"/>
        <w:rPr>
          <w:lang w:val="en-GB"/>
        </w:rPr>
      </w:pPr>
      <w:r w:rsidRPr="00641A34">
        <w:rPr>
          <w:lang w:val="en-GB"/>
        </w:rPr>
        <w:t>Marketing &amp; Communication Manager</w:t>
      </w:r>
      <w:r w:rsidRPr="00641A34">
        <w:rPr>
          <w:lang w:val="en-GB"/>
        </w:rPr>
        <w:tab/>
        <w:t xml:space="preserve">    </w:t>
      </w:r>
      <w:r w:rsidRPr="00641A34">
        <w:rPr>
          <w:lang w:val="en-GB"/>
        </w:rPr>
        <w:tab/>
        <w:t>Marketing &amp; Communication Specialist</w:t>
      </w:r>
    </w:p>
    <w:p w:rsidR="00F265F3" w:rsidRDefault="00F265F3" w:rsidP="00F265F3">
      <w:pPr>
        <w:spacing w:line="240" w:lineRule="auto"/>
        <w:ind w:right="985"/>
      </w:pPr>
      <w:r>
        <w:t>T: +43.(0)7242.486-1382</w:t>
      </w:r>
      <w:r>
        <w:tab/>
      </w:r>
      <w:r>
        <w:tab/>
      </w:r>
      <w:r>
        <w:tab/>
        <w:t>T: +43.(0)7242.486-1059</w:t>
      </w:r>
    </w:p>
    <w:p w:rsidR="00F265F3" w:rsidRDefault="00F265F3" w:rsidP="00F265F3">
      <w:pPr>
        <w:spacing w:line="240" w:lineRule="auto"/>
        <w:ind w:right="985"/>
      </w:pPr>
      <w:r>
        <w:t>M: +43.(0)664.8187423</w:t>
      </w:r>
    </w:p>
    <w:p w:rsidR="0043240B" w:rsidRPr="00EA6DDC" w:rsidRDefault="00F265F3" w:rsidP="00EA6DDC">
      <w:pPr>
        <w:spacing w:line="240" w:lineRule="auto"/>
        <w:ind w:right="985"/>
      </w:pPr>
      <w:r>
        <w:t>martin.kirchmayr@tgw-group.com</w:t>
      </w:r>
      <w:r>
        <w:tab/>
      </w:r>
      <w:r>
        <w:tab/>
        <w:t>daniela.nowak@tgw-group.com</w:t>
      </w:r>
    </w:p>
    <w:sectPr w:rsidR="0043240B" w:rsidRPr="00EA6DDC" w:rsidSect="00193DF6">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40D" w:rsidRDefault="0029140D" w:rsidP="00764006">
      <w:pPr>
        <w:spacing w:line="240" w:lineRule="auto"/>
      </w:pPr>
      <w:r>
        <w:separator/>
      </w:r>
    </w:p>
  </w:endnote>
  <w:endnote w:type="continuationSeparator" w:id="0">
    <w:p w:rsidR="0029140D" w:rsidRDefault="0029140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altName w:val="方正舒体"/>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020C90">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C544B8">
            <w:rPr>
              <w:noProof/>
              <w:sz w:val="16"/>
            </w:rPr>
            <w:t>6</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020C90">
            <w:rPr>
              <w:sz w:val="16"/>
            </w:rPr>
            <w:t>6</w:t>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40D" w:rsidRDefault="0029140D" w:rsidP="00764006">
      <w:pPr>
        <w:spacing w:line="240" w:lineRule="auto"/>
      </w:pPr>
      <w:r>
        <w:separator/>
      </w:r>
    </w:p>
  </w:footnote>
  <w:footnote w:type="continuationSeparator" w:id="0">
    <w:p w:rsidR="0029140D" w:rsidRDefault="0029140D"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rsidRPr="00C00CC7">
      <w:rPr>
        <w:lang w:val="de-AT" w:eastAsia="de-AT"/>
      </w:rPr>
      <w:drawing>
        <wp:anchor distT="0" distB="0" distL="114300" distR="114300" simplePos="0" relativeHeight="251658240" behindDoc="0" locked="0" layoutInCell="1" allowOverlap="1" wp14:anchorId="72622BA4" wp14:editId="3B312D7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A261DB">
      <w:t>Press</w:t>
    </w:r>
    <w:r w:rsidR="006F7556">
      <w:t xml:space="preserve"> I</w:t>
    </w:r>
    <w:r w:rsidR="00A261DB">
      <w:t>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7">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0">
      <w:startOverride w:val="1"/>
    </w:lvlOverride>
  </w:num>
  <w:num w:numId="3">
    <w:abstractNumId w:val="5"/>
  </w:num>
  <w:num w:numId="4">
    <w:abstractNumId w:val="12"/>
  </w:num>
  <w:num w:numId="5">
    <w:abstractNumId w:val="4"/>
  </w:num>
  <w:num w:numId="6">
    <w:abstractNumId w:val="1"/>
  </w:num>
  <w:num w:numId="7">
    <w:abstractNumId w:val="6"/>
  </w:num>
  <w:num w:numId="8">
    <w:abstractNumId w:val="3"/>
  </w:num>
  <w:num w:numId="9">
    <w:abstractNumId w:val="10"/>
  </w:num>
  <w:num w:numId="10">
    <w:abstractNumId w:val="0"/>
  </w:num>
  <w:num w:numId="11">
    <w:abstractNumId w:val="2"/>
  </w:num>
  <w:num w:numId="12">
    <w:abstractNumId w:val="8"/>
  </w:num>
  <w:num w:numId="13">
    <w:abstractNumId w:val="9"/>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048E9"/>
    <w:rsid w:val="00020C90"/>
    <w:rsid w:val="0002337D"/>
    <w:rsid w:val="00065CD8"/>
    <w:rsid w:val="0006709E"/>
    <w:rsid w:val="000740E1"/>
    <w:rsid w:val="0008328C"/>
    <w:rsid w:val="00090D40"/>
    <w:rsid w:val="00094DFA"/>
    <w:rsid w:val="000A490F"/>
    <w:rsid w:val="000E779D"/>
    <w:rsid w:val="000F7D85"/>
    <w:rsid w:val="00102B91"/>
    <w:rsid w:val="00117307"/>
    <w:rsid w:val="00132861"/>
    <w:rsid w:val="001606D4"/>
    <w:rsid w:val="00162F2C"/>
    <w:rsid w:val="0017018E"/>
    <w:rsid w:val="00183096"/>
    <w:rsid w:val="00193DF6"/>
    <w:rsid w:val="0019516B"/>
    <w:rsid w:val="001B0377"/>
    <w:rsid w:val="001B1C61"/>
    <w:rsid w:val="001B3B4C"/>
    <w:rsid w:val="001C1F1C"/>
    <w:rsid w:val="001C7C14"/>
    <w:rsid w:val="001D3B2A"/>
    <w:rsid w:val="001E7058"/>
    <w:rsid w:val="00213187"/>
    <w:rsid w:val="002178D9"/>
    <w:rsid w:val="00222B47"/>
    <w:rsid w:val="002316D5"/>
    <w:rsid w:val="00237FAD"/>
    <w:rsid w:val="00252CD7"/>
    <w:rsid w:val="0026487A"/>
    <w:rsid w:val="0029140D"/>
    <w:rsid w:val="00292EE3"/>
    <w:rsid w:val="00294E36"/>
    <w:rsid w:val="002B3503"/>
    <w:rsid w:val="002B4568"/>
    <w:rsid w:val="0030159E"/>
    <w:rsid w:val="003045D6"/>
    <w:rsid w:val="003114D5"/>
    <w:rsid w:val="0032405B"/>
    <w:rsid w:val="0033228A"/>
    <w:rsid w:val="00343E7A"/>
    <w:rsid w:val="003572A1"/>
    <w:rsid w:val="003642F9"/>
    <w:rsid w:val="00365AA0"/>
    <w:rsid w:val="003820A5"/>
    <w:rsid w:val="00387427"/>
    <w:rsid w:val="003A2448"/>
    <w:rsid w:val="003C3575"/>
    <w:rsid w:val="003C55E8"/>
    <w:rsid w:val="003D3E79"/>
    <w:rsid w:val="003D66BA"/>
    <w:rsid w:val="003E0954"/>
    <w:rsid w:val="003F04A3"/>
    <w:rsid w:val="00404BB0"/>
    <w:rsid w:val="00430BE8"/>
    <w:rsid w:val="00431C20"/>
    <w:rsid w:val="0043240B"/>
    <w:rsid w:val="00434234"/>
    <w:rsid w:val="00436E0D"/>
    <w:rsid w:val="00450B34"/>
    <w:rsid w:val="00455C3D"/>
    <w:rsid w:val="0045668E"/>
    <w:rsid w:val="00470B0F"/>
    <w:rsid w:val="00487647"/>
    <w:rsid w:val="0049245A"/>
    <w:rsid w:val="004A48A6"/>
    <w:rsid w:val="004A78EA"/>
    <w:rsid w:val="004C4506"/>
    <w:rsid w:val="004C775A"/>
    <w:rsid w:val="004D5156"/>
    <w:rsid w:val="004E6AFB"/>
    <w:rsid w:val="004F4838"/>
    <w:rsid w:val="00500690"/>
    <w:rsid w:val="00502B61"/>
    <w:rsid w:val="00505DCA"/>
    <w:rsid w:val="005278C0"/>
    <w:rsid w:val="00530B2A"/>
    <w:rsid w:val="00543DAA"/>
    <w:rsid w:val="0055503D"/>
    <w:rsid w:val="0055542D"/>
    <w:rsid w:val="005609F6"/>
    <w:rsid w:val="005735A7"/>
    <w:rsid w:val="00593028"/>
    <w:rsid w:val="00595F90"/>
    <w:rsid w:val="005C3D17"/>
    <w:rsid w:val="005D0133"/>
    <w:rsid w:val="005D179E"/>
    <w:rsid w:val="005D1C5D"/>
    <w:rsid w:val="005E2D7B"/>
    <w:rsid w:val="005F518B"/>
    <w:rsid w:val="00603680"/>
    <w:rsid w:val="006118EE"/>
    <w:rsid w:val="00612290"/>
    <w:rsid w:val="006162F8"/>
    <w:rsid w:val="006225BA"/>
    <w:rsid w:val="00632836"/>
    <w:rsid w:val="00637078"/>
    <w:rsid w:val="0064160D"/>
    <w:rsid w:val="0064588E"/>
    <w:rsid w:val="0066718E"/>
    <w:rsid w:val="006A1418"/>
    <w:rsid w:val="006B2AE7"/>
    <w:rsid w:val="006C0300"/>
    <w:rsid w:val="006C4240"/>
    <w:rsid w:val="006D22A4"/>
    <w:rsid w:val="006E7B1A"/>
    <w:rsid w:val="006F74DF"/>
    <w:rsid w:val="006F7556"/>
    <w:rsid w:val="006F765B"/>
    <w:rsid w:val="0070066D"/>
    <w:rsid w:val="0070259A"/>
    <w:rsid w:val="007149B0"/>
    <w:rsid w:val="00716360"/>
    <w:rsid w:val="00722485"/>
    <w:rsid w:val="00725E83"/>
    <w:rsid w:val="007502BB"/>
    <w:rsid w:val="0075117B"/>
    <w:rsid w:val="007579A7"/>
    <w:rsid w:val="00761D38"/>
    <w:rsid w:val="00764006"/>
    <w:rsid w:val="007724FA"/>
    <w:rsid w:val="00784101"/>
    <w:rsid w:val="007919B7"/>
    <w:rsid w:val="00795FD3"/>
    <w:rsid w:val="007A040F"/>
    <w:rsid w:val="007A7E0E"/>
    <w:rsid w:val="007B162E"/>
    <w:rsid w:val="007B400C"/>
    <w:rsid w:val="007B5207"/>
    <w:rsid w:val="007B5723"/>
    <w:rsid w:val="007B58F0"/>
    <w:rsid w:val="007C7155"/>
    <w:rsid w:val="007D0E42"/>
    <w:rsid w:val="007E1165"/>
    <w:rsid w:val="007E3B01"/>
    <w:rsid w:val="008116A0"/>
    <w:rsid w:val="0081786A"/>
    <w:rsid w:val="00831203"/>
    <w:rsid w:val="00832A89"/>
    <w:rsid w:val="00842E6F"/>
    <w:rsid w:val="00842F50"/>
    <w:rsid w:val="00865F37"/>
    <w:rsid w:val="00866BFD"/>
    <w:rsid w:val="008B5405"/>
    <w:rsid w:val="008C62E5"/>
    <w:rsid w:val="008D32B3"/>
    <w:rsid w:val="008D75EB"/>
    <w:rsid w:val="008E567E"/>
    <w:rsid w:val="008F7301"/>
    <w:rsid w:val="00903306"/>
    <w:rsid w:val="00911110"/>
    <w:rsid w:val="00930E95"/>
    <w:rsid w:val="0094574B"/>
    <w:rsid w:val="00951E90"/>
    <w:rsid w:val="00953D37"/>
    <w:rsid w:val="00955530"/>
    <w:rsid w:val="00980AC9"/>
    <w:rsid w:val="00993D0E"/>
    <w:rsid w:val="0099759A"/>
    <w:rsid w:val="009A1195"/>
    <w:rsid w:val="009B6AE2"/>
    <w:rsid w:val="009D0439"/>
    <w:rsid w:val="009D6810"/>
    <w:rsid w:val="009E6B79"/>
    <w:rsid w:val="00A06F83"/>
    <w:rsid w:val="00A11B97"/>
    <w:rsid w:val="00A11CDE"/>
    <w:rsid w:val="00A17C36"/>
    <w:rsid w:val="00A22FA7"/>
    <w:rsid w:val="00A25CF4"/>
    <w:rsid w:val="00A261DB"/>
    <w:rsid w:val="00A3445E"/>
    <w:rsid w:val="00A42ACF"/>
    <w:rsid w:val="00A4727A"/>
    <w:rsid w:val="00A51FDE"/>
    <w:rsid w:val="00A52A37"/>
    <w:rsid w:val="00A54489"/>
    <w:rsid w:val="00A61A98"/>
    <w:rsid w:val="00A640E1"/>
    <w:rsid w:val="00A70ECC"/>
    <w:rsid w:val="00AA69DF"/>
    <w:rsid w:val="00AC02D7"/>
    <w:rsid w:val="00AC34AF"/>
    <w:rsid w:val="00AD3796"/>
    <w:rsid w:val="00AE58BC"/>
    <w:rsid w:val="00AF103E"/>
    <w:rsid w:val="00AF7D9E"/>
    <w:rsid w:val="00B03B65"/>
    <w:rsid w:val="00B121A2"/>
    <w:rsid w:val="00B14BBB"/>
    <w:rsid w:val="00B15708"/>
    <w:rsid w:val="00B244D7"/>
    <w:rsid w:val="00B273AD"/>
    <w:rsid w:val="00B32D49"/>
    <w:rsid w:val="00B422A2"/>
    <w:rsid w:val="00B56A9C"/>
    <w:rsid w:val="00B57511"/>
    <w:rsid w:val="00B711B7"/>
    <w:rsid w:val="00B77027"/>
    <w:rsid w:val="00B87B68"/>
    <w:rsid w:val="00B9250D"/>
    <w:rsid w:val="00BA0D68"/>
    <w:rsid w:val="00BB04FF"/>
    <w:rsid w:val="00BC5D88"/>
    <w:rsid w:val="00BD4BF3"/>
    <w:rsid w:val="00BE102A"/>
    <w:rsid w:val="00BE63AC"/>
    <w:rsid w:val="00C00CC7"/>
    <w:rsid w:val="00C15D91"/>
    <w:rsid w:val="00C202C5"/>
    <w:rsid w:val="00C3722A"/>
    <w:rsid w:val="00C4025D"/>
    <w:rsid w:val="00C40B71"/>
    <w:rsid w:val="00C47105"/>
    <w:rsid w:val="00C544B8"/>
    <w:rsid w:val="00C57C88"/>
    <w:rsid w:val="00C67898"/>
    <w:rsid w:val="00C72401"/>
    <w:rsid w:val="00C86A9B"/>
    <w:rsid w:val="00C87839"/>
    <w:rsid w:val="00CA1D9F"/>
    <w:rsid w:val="00CA6F06"/>
    <w:rsid w:val="00CC6F89"/>
    <w:rsid w:val="00CD1F7D"/>
    <w:rsid w:val="00CF2541"/>
    <w:rsid w:val="00CF592B"/>
    <w:rsid w:val="00D25CD8"/>
    <w:rsid w:val="00D279F1"/>
    <w:rsid w:val="00D53480"/>
    <w:rsid w:val="00D730BC"/>
    <w:rsid w:val="00D90DAC"/>
    <w:rsid w:val="00DA795B"/>
    <w:rsid w:val="00DC6486"/>
    <w:rsid w:val="00DD417D"/>
    <w:rsid w:val="00DE7196"/>
    <w:rsid w:val="00E00E41"/>
    <w:rsid w:val="00E01F29"/>
    <w:rsid w:val="00E123A8"/>
    <w:rsid w:val="00E15606"/>
    <w:rsid w:val="00E21CBA"/>
    <w:rsid w:val="00E21D57"/>
    <w:rsid w:val="00E220EC"/>
    <w:rsid w:val="00E32CED"/>
    <w:rsid w:val="00E437CD"/>
    <w:rsid w:val="00E5322C"/>
    <w:rsid w:val="00E57080"/>
    <w:rsid w:val="00E62C00"/>
    <w:rsid w:val="00E96076"/>
    <w:rsid w:val="00EA06E5"/>
    <w:rsid w:val="00EA51D2"/>
    <w:rsid w:val="00EA6DDC"/>
    <w:rsid w:val="00EA70EF"/>
    <w:rsid w:val="00EB0FAF"/>
    <w:rsid w:val="00EB7250"/>
    <w:rsid w:val="00ED14CD"/>
    <w:rsid w:val="00ED3142"/>
    <w:rsid w:val="00EE6853"/>
    <w:rsid w:val="00EF1C7B"/>
    <w:rsid w:val="00EF6909"/>
    <w:rsid w:val="00F265F3"/>
    <w:rsid w:val="00F419CE"/>
    <w:rsid w:val="00F438F9"/>
    <w:rsid w:val="00F43D53"/>
    <w:rsid w:val="00F54CA0"/>
    <w:rsid w:val="00F6247B"/>
    <w:rsid w:val="00F64F36"/>
    <w:rsid w:val="00F7391E"/>
    <w:rsid w:val="00F76CFA"/>
    <w:rsid w:val="00FB7479"/>
    <w:rsid w:val="00FD15B7"/>
    <w:rsid w:val="00FD559D"/>
    <w:rsid w:val="00FE0E60"/>
    <w:rsid w:val="00FE27B4"/>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semiHidden/>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character" w:styleId="BesuchterHyperlink">
    <w:name w:val="FollowedHyperlink"/>
    <w:basedOn w:val="Absatz-Standardschriftart"/>
    <w:uiPriority w:val="99"/>
    <w:semiHidden/>
    <w:unhideWhenUsed/>
    <w:rsid w:val="00F265F3"/>
    <w:rPr>
      <w:color w:val="A8ADAD"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semiHidden/>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character" w:styleId="BesuchterHyperlink">
    <w:name w:val="FollowedHyperlink"/>
    <w:basedOn w:val="Absatz-Standardschriftart"/>
    <w:uiPriority w:val="99"/>
    <w:semiHidden/>
    <w:unhideWhenUsed/>
    <w:rsid w:val="00F265F3"/>
    <w:rPr>
      <w:color w:val="A8ADA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fotoservice.a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gw.jobs" TargetMode="External"/><Relationship Id="rId4" Type="http://schemas.openxmlformats.org/officeDocument/2006/relationships/settings" Target="settings.xml"/><Relationship Id="rId9" Type="http://schemas.openxmlformats.org/officeDocument/2006/relationships/hyperlink" Target="http://pressecenter.reichlundpartner.com/News.aspx?menueid=553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1223</Words>
  <Characters>7708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8</cp:revision>
  <cp:lastPrinted>2015-11-04T08:50:00Z</cp:lastPrinted>
  <dcterms:created xsi:type="dcterms:W3CDTF">2015-11-05T15:32:00Z</dcterms:created>
  <dcterms:modified xsi:type="dcterms:W3CDTF">2015-11-06T12:29:00Z</dcterms:modified>
</cp:coreProperties>
</file>